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429F5">
      <w:pPr>
        <w:spacing w:line="360" w:lineRule="auto"/>
        <w:jc w:val="center"/>
        <w:rPr>
          <w:rFonts w:ascii="宋体" w:hAnsi="宋体"/>
          <w:b/>
          <w:bCs/>
          <w:color w:val="000000"/>
          <w:sz w:val="24"/>
        </w:rPr>
      </w:pPr>
      <w:r>
        <w:rPr>
          <w:rFonts w:hint="eastAsia" w:ascii="宋体" w:hAnsi="宋体"/>
          <w:b/>
          <w:bCs/>
          <w:color w:val="000000"/>
          <w:sz w:val="24"/>
        </w:rPr>
        <w:t>房屋租赁合同</w:t>
      </w:r>
    </w:p>
    <w:p w14:paraId="4667AEB3">
      <w:pPr>
        <w:pStyle w:val="2"/>
        <w:spacing w:line="360" w:lineRule="auto"/>
        <w:ind w:left="0" w:leftChars="0" w:firstLine="0" w:firstLineChars="0"/>
        <w:jc w:val="left"/>
        <w:rPr>
          <w:rFonts w:hint="default" w:ascii="宋体" w:hAnsi="宋体" w:eastAsia="宋体"/>
          <w:color w:val="000000"/>
          <w:u w:val="single"/>
          <w:lang w:val="en-US" w:eastAsia="zh-CN"/>
        </w:rPr>
      </w:pPr>
      <w:r>
        <w:rPr>
          <w:rFonts w:hint="eastAsia" w:ascii="宋体" w:hAnsi="宋体"/>
          <w:color w:val="000000"/>
        </w:rPr>
        <w:t>承租方（甲方）：</w:t>
      </w:r>
      <w:r>
        <w:rPr>
          <w:rFonts w:hint="eastAsia" w:ascii="宋体" w:hAnsi="宋体"/>
          <w:color w:val="000000"/>
          <w:u w:val="single"/>
          <w:lang w:val="en-US" w:eastAsia="zh-CN"/>
        </w:rPr>
        <w:t xml:space="preserve">                        </w:t>
      </w:r>
    </w:p>
    <w:p w14:paraId="41A6BA38">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出租方（乙方）：</w:t>
      </w:r>
      <w:r>
        <w:rPr>
          <w:rFonts w:hint="eastAsia" w:ascii="宋体" w:hAnsi="宋体"/>
          <w:color w:val="000000"/>
          <w:u w:val="single"/>
          <w:lang w:val="en-US" w:eastAsia="zh-CN"/>
        </w:rPr>
        <w:t xml:space="preserve">                        </w:t>
      </w:r>
    </w:p>
    <w:p w14:paraId="60EB7D3B">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鉴证方：</w:t>
      </w:r>
      <w:r>
        <w:rPr>
          <w:rFonts w:hint="eastAsia" w:ascii="宋体" w:hAnsi="宋体"/>
          <w:color w:val="000000"/>
          <w:u w:val="single"/>
          <w:lang w:val="en-US" w:eastAsia="zh-CN"/>
        </w:rPr>
        <w:t xml:space="preserve">                        </w:t>
      </w:r>
    </w:p>
    <w:p w14:paraId="7AEF74B5">
      <w:pPr>
        <w:pStyle w:val="2"/>
        <w:spacing w:line="360" w:lineRule="auto"/>
        <w:ind w:left="0" w:leftChars="0" w:firstLine="480"/>
        <w:jc w:val="left"/>
        <w:rPr>
          <w:rFonts w:hint="eastAsia" w:ascii="宋体" w:hAnsi="宋体"/>
          <w:color w:val="000000"/>
        </w:rPr>
      </w:pPr>
      <w:r>
        <w:rPr>
          <w:rFonts w:hint="eastAsia" w:ascii="宋体" w:hAnsi="宋体"/>
          <w:color w:val="000000"/>
        </w:rPr>
        <w:t>鉴证方就甲方所需服务，按照政府采购程序组织单一来源采购，确定乙方为XXXXXXX项目（项目编号：XXXXXXX）成交供应商。依据《中华人民共和国政府采购法》、《中华人民共和国民法典》以及单一来源采购文件、成交通知书，经甲、乙双方协商，鉴证方确认，达成如下合同条款。</w:t>
      </w:r>
    </w:p>
    <w:p w14:paraId="579141AE">
      <w:pPr>
        <w:pStyle w:val="2"/>
        <w:spacing w:line="360" w:lineRule="auto"/>
        <w:ind w:left="0" w:leftChars="0" w:firstLine="0" w:firstLineChars="0"/>
        <w:jc w:val="left"/>
        <w:rPr>
          <w:rFonts w:hint="eastAsia" w:ascii="宋体" w:hAnsi="宋体"/>
          <w:color w:val="000000"/>
          <w:lang w:eastAsia="zh-CN"/>
        </w:rPr>
      </w:pPr>
      <w:r>
        <w:rPr>
          <w:rFonts w:hint="eastAsia" w:ascii="宋体" w:hAnsi="宋体"/>
          <w:color w:val="000000"/>
        </w:rPr>
        <w:t>一、合同标的物内容及数量（以响应文件正本和澄清表〈函〉为准）</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931"/>
        <w:gridCol w:w="2369"/>
        <w:gridCol w:w="1073"/>
        <w:gridCol w:w="1073"/>
        <w:gridCol w:w="1054"/>
        <w:gridCol w:w="1014"/>
        <w:gridCol w:w="1008"/>
      </w:tblGrid>
      <w:tr w14:paraId="694EDC8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78" w:type="dxa"/>
            <w:tcBorders>
              <w:top w:val="single" w:color="auto" w:sz="12" w:space="0"/>
              <w:bottom w:val="single" w:color="auto" w:sz="2" w:space="0"/>
            </w:tcBorders>
            <w:shd w:val="clear" w:color="auto" w:fill="BCE1C0"/>
            <w:noWrap w:val="0"/>
            <w:vAlign w:val="center"/>
          </w:tcPr>
          <w:p w14:paraId="6230E5B6">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551" w:type="dxa"/>
            <w:tcBorders>
              <w:top w:val="single" w:color="auto" w:sz="12" w:space="0"/>
              <w:bottom w:val="single" w:color="auto" w:sz="2" w:space="0"/>
            </w:tcBorders>
            <w:shd w:val="clear" w:color="auto" w:fill="BCE1C0"/>
            <w:noWrap w:val="0"/>
            <w:vAlign w:val="center"/>
          </w:tcPr>
          <w:p w14:paraId="19AA9CF5">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服务名称</w:t>
            </w:r>
          </w:p>
        </w:tc>
        <w:tc>
          <w:tcPr>
            <w:tcW w:w="1134" w:type="dxa"/>
            <w:tcBorders>
              <w:top w:val="single" w:color="auto" w:sz="12" w:space="0"/>
              <w:bottom w:val="single" w:color="auto" w:sz="2" w:space="0"/>
            </w:tcBorders>
            <w:shd w:val="clear" w:color="auto" w:fill="BCE1C0"/>
            <w:noWrap w:val="0"/>
            <w:vAlign w:val="center"/>
          </w:tcPr>
          <w:p w14:paraId="4F31CA27">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服务内容</w:t>
            </w:r>
          </w:p>
        </w:tc>
        <w:tc>
          <w:tcPr>
            <w:tcW w:w="1134" w:type="dxa"/>
            <w:tcBorders>
              <w:top w:val="single" w:color="auto" w:sz="12" w:space="0"/>
              <w:bottom w:val="single" w:color="auto" w:sz="2" w:space="0"/>
            </w:tcBorders>
            <w:shd w:val="clear" w:color="auto" w:fill="BCE1C0"/>
            <w:noWrap w:val="0"/>
            <w:vAlign w:val="center"/>
          </w:tcPr>
          <w:p w14:paraId="60408AC0">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计量单位</w:t>
            </w:r>
          </w:p>
        </w:tc>
        <w:tc>
          <w:tcPr>
            <w:tcW w:w="1113" w:type="dxa"/>
            <w:tcBorders>
              <w:top w:val="single" w:color="auto" w:sz="12" w:space="0"/>
              <w:bottom w:val="single" w:color="auto" w:sz="2" w:space="0"/>
            </w:tcBorders>
            <w:shd w:val="clear" w:color="auto" w:fill="BCE1C0"/>
            <w:noWrap w:val="0"/>
            <w:vAlign w:val="center"/>
          </w:tcPr>
          <w:p w14:paraId="3D575226">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服务时间</w:t>
            </w:r>
          </w:p>
        </w:tc>
        <w:tc>
          <w:tcPr>
            <w:tcW w:w="1069" w:type="dxa"/>
            <w:tcBorders>
              <w:top w:val="single" w:color="auto" w:sz="12" w:space="0"/>
              <w:bottom w:val="single" w:color="auto" w:sz="2" w:space="0"/>
            </w:tcBorders>
            <w:shd w:val="clear" w:color="auto" w:fill="BCE1C0"/>
            <w:noWrap w:val="0"/>
            <w:vAlign w:val="center"/>
          </w:tcPr>
          <w:p w14:paraId="2FA407A0">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数量</w:t>
            </w:r>
          </w:p>
        </w:tc>
        <w:tc>
          <w:tcPr>
            <w:tcW w:w="1061" w:type="dxa"/>
            <w:tcBorders>
              <w:top w:val="single" w:color="auto" w:sz="12" w:space="0"/>
              <w:bottom w:val="single" w:color="auto" w:sz="2" w:space="0"/>
            </w:tcBorders>
            <w:shd w:val="clear" w:color="auto" w:fill="BCE1C0"/>
            <w:noWrap w:val="0"/>
            <w:vAlign w:val="center"/>
          </w:tcPr>
          <w:p w14:paraId="0F213833">
            <w:pPr>
              <w:spacing w:line="320" w:lineRule="exact"/>
              <w:jc w:val="center"/>
              <w:rPr>
                <w:rFonts w:ascii="宋体" w:hAnsi="宋体" w:cs="宋体"/>
                <w:b/>
                <w:bCs/>
                <w:color w:val="000000"/>
                <w:kern w:val="0"/>
                <w:szCs w:val="21"/>
              </w:rPr>
            </w:pPr>
            <w:r>
              <w:rPr>
                <w:rFonts w:hint="eastAsia" w:ascii="宋体" w:hAnsi="宋体" w:cs="宋体"/>
                <w:b/>
                <w:bCs/>
                <w:color w:val="000000"/>
                <w:kern w:val="0"/>
                <w:szCs w:val="21"/>
              </w:rPr>
              <w:t>备注</w:t>
            </w:r>
          </w:p>
        </w:tc>
      </w:tr>
      <w:tr w14:paraId="0871F5B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78" w:type="dxa"/>
            <w:noWrap w:val="0"/>
            <w:vAlign w:val="center"/>
          </w:tcPr>
          <w:p w14:paraId="6078DE85">
            <w:pPr>
              <w:spacing w:line="320" w:lineRule="exact"/>
              <w:jc w:val="center"/>
              <w:rPr>
                <w:rFonts w:ascii="宋体" w:hAnsi="宋体" w:cs="宋体"/>
                <w:color w:val="000000"/>
                <w:kern w:val="0"/>
                <w:szCs w:val="21"/>
              </w:rPr>
            </w:pPr>
            <w:r>
              <w:rPr>
                <w:rFonts w:hint="eastAsia" w:ascii="宋体" w:hAnsi="宋体" w:cs="宋体"/>
                <w:color w:val="000000"/>
                <w:kern w:val="0"/>
                <w:szCs w:val="21"/>
              </w:rPr>
              <w:t>1</w:t>
            </w:r>
          </w:p>
        </w:tc>
        <w:tc>
          <w:tcPr>
            <w:tcW w:w="2551" w:type="dxa"/>
            <w:noWrap w:val="0"/>
            <w:vAlign w:val="center"/>
          </w:tcPr>
          <w:p w14:paraId="3D81887A">
            <w:pPr>
              <w:spacing w:line="320" w:lineRule="exact"/>
              <w:rPr>
                <w:rFonts w:ascii="宋体" w:hAnsi="宋体" w:cs="宋体"/>
                <w:color w:val="000000"/>
                <w:kern w:val="0"/>
                <w:szCs w:val="21"/>
              </w:rPr>
            </w:pPr>
          </w:p>
        </w:tc>
        <w:tc>
          <w:tcPr>
            <w:tcW w:w="1134" w:type="dxa"/>
            <w:noWrap w:val="0"/>
            <w:vAlign w:val="center"/>
          </w:tcPr>
          <w:p w14:paraId="394FAD1A">
            <w:pPr>
              <w:spacing w:line="320" w:lineRule="exact"/>
              <w:jc w:val="center"/>
              <w:rPr>
                <w:rFonts w:ascii="宋体" w:hAnsi="宋体" w:cs="宋体"/>
                <w:color w:val="000000"/>
                <w:kern w:val="0"/>
                <w:szCs w:val="21"/>
              </w:rPr>
            </w:pPr>
          </w:p>
        </w:tc>
        <w:tc>
          <w:tcPr>
            <w:tcW w:w="1134" w:type="dxa"/>
            <w:noWrap w:val="0"/>
            <w:vAlign w:val="center"/>
          </w:tcPr>
          <w:p w14:paraId="1C062E46">
            <w:pPr>
              <w:spacing w:line="320" w:lineRule="exact"/>
              <w:jc w:val="center"/>
              <w:rPr>
                <w:rFonts w:ascii="宋体" w:hAnsi="宋体" w:cs="宋体"/>
                <w:color w:val="000000"/>
                <w:kern w:val="0"/>
                <w:szCs w:val="21"/>
              </w:rPr>
            </w:pPr>
          </w:p>
        </w:tc>
        <w:tc>
          <w:tcPr>
            <w:tcW w:w="1113" w:type="dxa"/>
            <w:noWrap w:val="0"/>
            <w:vAlign w:val="center"/>
          </w:tcPr>
          <w:p w14:paraId="3A134D6C">
            <w:pPr>
              <w:spacing w:line="320" w:lineRule="exact"/>
              <w:jc w:val="center"/>
              <w:rPr>
                <w:rFonts w:ascii="宋体" w:hAnsi="宋体" w:cs="宋体"/>
                <w:color w:val="000000"/>
                <w:kern w:val="0"/>
                <w:szCs w:val="21"/>
              </w:rPr>
            </w:pPr>
          </w:p>
        </w:tc>
        <w:tc>
          <w:tcPr>
            <w:tcW w:w="1069" w:type="dxa"/>
            <w:noWrap w:val="0"/>
            <w:vAlign w:val="center"/>
          </w:tcPr>
          <w:p w14:paraId="2EC8BC58">
            <w:pPr>
              <w:spacing w:line="320" w:lineRule="exact"/>
              <w:jc w:val="center"/>
              <w:rPr>
                <w:rFonts w:ascii="宋体" w:hAnsi="宋体" w:cs="宋体"/>
                <w:color w:val="000000"/>
                <w:kern w:val="0"/>
                <w:szCs w:val="21"/>
              </w:rPr>
            </w:pPr>
          </w:p>
        </w:tc>
        <w:tc>
          <w:tcPr>
            <w:tcW w:w="1061" w:type="dxa"/>
            <w:noWrap w:val="0"/>
            <w:vAlign w:val="center"/>
          </w:tcPr>
          <w:p w14:paraId="3EE3428E">
            <w:pPr>
              <w:spacing w:line="320" w:lineRule="exact"/>
              <w:rPr>
                <w:rFonts w:ascii="宋体" w:hAnsi="宋体" w:cs="宋体"/>
                <w:color w:val="000000"/>
                <w:kern w:val="0"/>
                <w:szCs w:val="21"/>
              </w:rPr>
            </w:pPr>
          </w:p>
        </w:tc>
      </w:tr>
      <w:tr w14:paraId="5B84006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78" w:type="dxa"/>
            <w:noWrap w:val="0"/>
            <w:vAlign w:val="center"/>
          </w:tcPr>
          <w:p w14:paraId="72CD5CF5">
            <w:pPr>
              <w:spacing w:line="320" w:lineRule="exact"/>
              <w:jc w:val="center"/>
              <w:rPr>
                <w:rFonts w:ascii="宋体" w:hAnsi="宋体" w:cs="宋体"/>
                <w:color w:val="000000"/>
                <w:kern w:val="0"/>
                <w:szCs w:val="21"/>
              </w:rPr>
            </w:pPr>
            <w:r>
              <w:rPr>
                <w:rFonts w:hint="eastAsia" w:ascii="宋体" w:hAnsi="宋体" w:cs="宋体"/>
                <w:color w:val="000000"/>
                <w:kern w:val="0"/>
                <w:szCs w:val="21"/>
              </w:rPr>
              <w:t>租赁费</w:t>
            </w:r>
            <w:r>
              <w:rPr>
                <w:rFonts w:ascii="宋体" w:hAnsi="宋体" w:cs="宋体"/>
                <w:color w:val="000000"/>
                <w:kern w:val="0"/>
                <w:szCs w:val="21"/>
              </w:rPr>
              <w:br w:type="textWrapping"/>
            </w:r>
            <w:r>
              <w:rPr>
                <w:rFonts w:ascii="宋体" w:hAnsi="宋体" w:cs="宋体"/>
                <w:color w:val="000000"/>
                <w:kern w:val="0"/>
                <w:szCs w:val="21"/>
              </w:rPr>
              <w:t>合计</w:t>
            </w:r>
          </w:p>
        </w:tc>
        <w:tc>
          <w:tcPr>
            <w:tcW w:w="8062" w:type="dxa"/>
            <w:gridSpan w:val="6"/>
            <w:noWrap w:val="0"/>
            <w:vAlign w:val="center"/>
          </w:tcPr>
          <w:p w14:paraId="4EBE667E">
            <w:pPr>
              <w:spacing w:line="320" w:lineRule="exact"/>
              <w:rPr>
                <w:rFonts w:ascii="宋体" w:hAnsi="宋体" w:cs="宋体"/>
                <w:color w:val="000000"/>
                <w:kern w:val="0"/>
                <w:szCs w:val="21"/>
              </w:rPr>
            </w:pPr>
            <w:r>
              <w:rPr>
                <w:rFonts w:hint="eastAsia" w:ascii="宋体" w:hAnsi="宋体" w:cs="宋体"/>
                <w:color w:val="000000"/>
                <w:kern w:val="0"/>
                <w:szCs w:val="21"/>
              </w:rPr>
              <w:t>万元</w:t>
            </w:r>
          </w:p>
        </w:tc>
      </w:tr>
      <w:tr w14:paraId="36D9CF5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78" w:type="dxa"/>
            <w:noWrap w:val="0"/>
            <w:vAlign w:val="center"/>
          </w:tcPr>
          <w:p w14:paraId="780B5D6F">
            <w:pPr>
              <w:spacing w:line="320" w:lineRule="exact"/>
              <w:jc w:val="center"/>
              <w:rPr>
                <w:rFonts w:ascii="宋体" w:hAnsi="宋体" w:cs="宋体"/>
                <w:color w:val="000000"/>
                <w:kern w:val="0"/>
                <w:szCs w:val="21"/>
              </w:rPr>
            </w:pPr>
            <w:r>
              <w:rPr>
                <w:rFonts w:hint="eastAsia" w:ascii="宋体" w:hAnsi="宋体" w:cs="宋体"/>
                <w:color w:val="000000"/>
                <w:kern w:val="0"/>
                <w:szCs w:val="21"/>
              </w:rPr>
              <w:t>说明</w:t>
            </w:r>
          </w:p>
        </w:tc>
        <w:tc>
          <w:tcPr>
            <w:tcW w:w="8062" w:type="dxa"/>
            <w:gridSpan w:val="6"/>
            <w:noWrap w:val="0"/>
            <w:vAlign w:val="center"/>
          </w:tcPr>
          <w:p w14:paraId="17690190">
            <w:pPr>
              <w:spacing w:line="320" w:lineRule="exact"/>
              <w:rPr>
                <w:rFonts w:ascii="宋体" w:hAnsi="宋体" w:cs="宋体"/>
                <w:color w:val="000000"/>
                <w:kern w:val="0"/>
                <w:szCs w:val="21"/>
              </w:rPr>
            </w:pPr>
          </w:p>
        </w:tc>
      </w:tr>
    </w:tbl>
    <w:p w14:paraId="62ED598D">
      <w:pPr>
        <w:pStyle w:val="2"/>
        <w:spacing w:line="360" w:lineRule="auto"/>
        <w:ind w:left="0" w:leftChars="0" w:firstLine="0" w:firstLineChars="0"/>
        <w:jc w:val="left"/>
        <w:rPr>
          <w:rFonts w:hint="eastAsia" w:ascii="宋体" w:hAnsi="宋体"/>
          <w:color w:val="000000"/>
          <w:lang w:eastAsia="zh-CN"/>
        </w:rPr>
      </w:pPr>
      <w:r>
        <w:rPr>
          <w:rFonts w:hint="eastAsia" w:ascii="宋体" w:hAnsi="宋体"/>
          <w:color w:val="000000"/>
        </w:rPr>
        <w:t>二、服务条件：</w:t>
      </w:r>
    </w:p>
    <w:p w14:paraId="7F5815D9">
      <w:pPr>
        <w:pStyle w:val="2"/>
        <w:spacing w:line="360" w:lineRule="auto"/>
        <w:ind w:left="0" w:leftChars="0" w:firstLine="240" w:firstLineChars="100"/>
        <w:jc w:val="left"/>
        <w:rPr>
          <w:rFonts w:hint="eastAsia" w:ascii="宋体" w:hAnsi="宋体"/>
          <w:color w:val="000000"/>
          <w:u w:val="single"/>
          <w:lang w:val="en-US" w:eastAsia="zh-CN"/>
        </w:rPr>
      </w:pPr>
      <w:r>
        <w:rPr>
          <w:rFonts w:hint="eastAsia" w:ascii="宋体" w:hAnsi="宋体"/>
          <w:color w:val="000000"/>
        </w:rPr>
        <w:t>（一）服务地点：</w:t>
      </w:r>
      <w:r>
        <w:rPr>
          <w:rFonts w:hint="eastAsia" w:ascii="宋体" w:hAnsi="宋体"/>
          <w:color w:val="000000"/>
          <w:u w:val="single"/>
          <w:lang w:val="en-US" w:eastAsia="zh-CN"/>
        </w:rPr>
        <w:t xml:space="preserve">                      </w:t>
      </w:r>
    </w:p>
    <w:p w14:paraId="679D91A2">
      <w:pPr>
        <w:pStyle w:val="2"/>
        <w:spacing w:line="360" w:lineRule="auto"/>
        <w:ind w:left="0" w:leftChars="0" w:firstLine="240" w:firstLineChars="100"/>
        <w:jc w:val="left"/>
        <w:rPr>
          <w:rFonts w:hint="eastAsia" w:ascii="宋体" w:hAnsi="宋体"/>
          <w:color w:val="000000"/>
          <w:lang w:eastAsia="zh-CN"/>
        </w:rPr>
      </w:pPr>
      <w:r>
        <w:rPr>
          <w:rFonts w:hint="eastAsia" w:ascii="宋体" w:hAnsi="宋体"/>
          <w:color w:val="000000"/>
        </w:rPr>
        <w:t>（二）服务期：</w:t>
      </w:r>
    </w:p>
    <w:p w14:paraId="573AB79D">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1．自____年___月___日至____年___月___日，该房屋租赁期限为</w:t>
      </w:r>
      <w:r>
        <w:rPr>
          <w:rFonts w:hint="eastAsia" w:ascii="宋体" w:hAnsi="宋体"/>
          <w:color w:val="000000"/>
          <w:u w:val="single"/>
          <w:lang w:val="en-US" w:eastAsia="zh-CN"/>
        </w:rPr>
        <w:t xml:space="preserve">     </w:t>
      </w:r>
      <w:r>
        <w:rPr>
          <w:rFonts w:hint="eastAsia" w:ascii="宋体" w:hAnsi="宋体"/>
          <w:color w:val="000000"/>
        </w:rPr>
        <w:t>。租赁费用自____年___月___日起计算。</w:t>
      </w:r>
    </w:p>
    <w:p w14:paraId="05141B78">
      <w:pPr>
        <w:pStyle w:val="2"/>
        <w:spacing w:line="360" w:lineRule="auto"/>
        <w:ind w:left="0" w:leftChars="0" w:firstLine="480"/>
        <w:jc w:val="left"/>
        <w:rPr>
          <w:rFonts w:hint="eastAsia" w:ascii="宋体" w:hAnsi="宋体"/>
          <w:color w:val="000000"/>
        </w:rPr>
      </w:pPr>
      <w:r>
        <w:rPr>
          <w:rFonts w:hint="eastAsia" w:ascii="宋体" w:hAnsi="宋体"/>
          <w:color w:val="000000"/>
        </w:rPr>
        <w:t>2．乙方保证租赁房屋没有产权纠纷，保证对租赁房屋拥有合法的财产权益。如因租赁房屋权利瑕疵给甲方造成无法使用租赁房屋的经济损失的，由乙方负责赔偿。</w:t>
      </w:r>
    </w:p>
    <w:p w14:paraId="01CC8E3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3．租赁期内，乙方有权自主销售租赁房屋但须事先在合理期限内（15日内）通知甲方，甲方享有同等条件优先购买权。如甲方在通知后15日内未明确书面表示购买，则视为放弃优先购买权。租赁房屋所有权转让后，甲方在租赁期内的承租权对受让人仍为有效。</w:t>
      </w:r>
    </w:p>
    <w:p w14:paraId="27402231">
      <w:pPr>
        <w:pStyle w:val="2"/>
        <w:spacing w:line="360" w:lineRule="auto"/>
        <w:ind w:left="0" w:leftChars="0" w:firstLine="480"/>
        <w:jc w:val="left"/>
        <w:rPr>
          <w:rFonts w:hint="eastAsia" w:ascii="宋体" w:hAnsi="宋体"/>
          <w:color w:val="000000"/>
        </w:rPr>
      </w:pPr>
      <w:r>
        <w:rPr>
          <w:rFonts w:hint="eastAsia" w:ascii="宋体" w:hAnsi="宋体"/>
          <w:color w:val="000000"/>
        </w:rPr>
        <w:t>4．租赁期间届满，乙方尚未出售租赁房屋且对外继续承租的，如甲方欲续租租赁房屋，需在合同期满两个月前向乙方提出书面续租，同等条件下甲方享有优先承租权。逾期提出视为甲方放弃优先承租权，乙方有权另行租赁。</w:t>
      </w:r>
    </w:p>
    <w:p w14:paraId="571A10D8">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三、合同价款</w:t>
      </w:r>
    </w:p>
    <w:p w14:paraId="7F8CFC01">
      <w:pPr>
        <w:pStyle w:val="2"/>
        <w:spacing w:line="360" w:lineRule="auto"/>
        <w:ind w:left="0" w:leftChars="0" w:firstLine="480"/>
        <w:jc w:val="left"/>
        <w:rPr>
          <w:rFonts w:hint="eastAsia" w:ascii="宋体" w:hAnsi="宋体"/>
          <w:color w:val="000000"/>
        </w:rPr>
      </w:pPr>
      <w:r>
        <w:rPr>
          <w:rFonts w:hint="eastAsia" w:ascii="宋体" w:hAnsi="宋体"/>
          <w:color w:val="000000"/>
        </w:rPr>
        <w:t>1．合同总价款为￥</w:t>
      </w:r>
      <w:r>
        <w:rPr>
          <w:rFonts w:hint="eastAsia" w:ascii="宋体" w:hAnsi="宋体"/>
          <w:color w:val="000000"/>
          <w:u w:val="single"/>
          <w:lang w:eastAsia="zh-CN"/>
        </w:rPr>
        <w:t xml:space="preserve">      </w:t>
      </w:r>
      <w:r>
        <w:rPr>
          <w:rFonts w:hint="eastAsia" w:ascii="宋体" w:hAnsi="宋体"/>
          <w:color w:val="000000"/>
        </w:rPr>
        <w:t>万元（人民币大写：</w:t>
      </w:r>
      <w:r>
        <w:rPr>
          <w:rFonts w:hint="eastAsia" w:ascii="宋体" w:hAnsi="宋体"/>
          <w:color w:val="000000"/>
          <w:u w:val="single"/>
          <w:lang w:eastAsia="zh-CN"/>
        </w:rPr>
        <w:t xml:space="preserve">                           </w:t>
      </w:r>
      <w:r>
        <w:rPr>
          <w:rFonts w:hint="eastAsia" w:ascii="宋体" w:hAnsi="宋体"/>
          <w:color w:val="000000"/>
        </w:rPr>
        <w:t>）。</w:t>
      </w:r>
    </w:p>
    <w:p w14:paraId="4D42DCE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2．合同总价包括：租赁费、装修费、家具费和税金等。</w:t>
      </w:r>
    </w:p>
    <w:p w14:paraId="3B7C458A">
      <w:pPr>
        <w:pStyle w:val="2"/>
        <w:spacing w:line="360" w:lineRule="auto"/>
        <w:ind w:left="0" w:leftChars="0" w:firstLine="480"/>
        <w:jc w:val="left"/>
        <w:rPr>
          <w:rFonts w:hint="eastAsia" w:ascii="宋体" w:hAnsi="宋体"/>
          <w:color w:val="000000"/>
        </w:rPr>
      </w:pPr>
      <w:r>
        <w:rPr>
          <w:rFonts w:hint="eastAsia" w:ascii="宋体" w:hAnsi="宋体"/>
          <w:color w:val="000000"/>
        </w:rPr>
        <w:t>3．合同总价一次性包死，不受市场价格变化因素的影响。</w:t>
      </w:r>
    </w:p>
    <w:p w14:paraId="7E26BA9E">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四、款项结算</w:t>
      </w:r>
    </w:p>
    <w:p w14:paraId="60457C08">
      <w:pPr>
        <w:pStyle w:val="2"/>
        <w:spacing w:line="360" w:lineRule="auto"/>
        <w:ind w:left="0" w:leftChars="0" w:firstLine="480"/>
        <w:jc w:val="left"/>
        <w:rPr>
          <w:rFonts w:hint="eastAsia" w:ascii="宋体" w:hAnsi="宋体"/>
          <w:color w:val="000000"/>
        </w:rPr>
      </w:pPr>
      <w:r>
        <w:rPr>
          <w:rFonts w:hint="eastAsia" w:ascii="宋体" w:hAnsi="宋体"/>
          <w:color w:val="000000"/>
        </w:rPr>
        <w:t>租赁期内甲方向乙方支付租赁费，租赁费用标准为：人民币（含税）￥</w:t>
      </w:r>
      <w:r>
        <w:rPr>
          <w:rFonts w:hint="eastAsia" w:ascii="宋体" w:hAnsi="宋体"/>
          <w:color w:val="000000"/>
          <w:u w:val="single"/>
          <w:lang w:eastAsia="zh-CN"/>
        </w:rPr>
        <w:t xml:space="preserve">        </w:t>
      </w:r>
      <w:r>
        <w:rPr>
          <w:rFonts w:hint="eastAsia" w:ascii="宋体" w:hAnsi="宋体"/>
          <w:color w:val="000000"/>
        </w:rPr>
        <w:t>元（人民币大写：</w:t>
      </w:r>
      <w:r>
        <w:rPr>
          <w:rFonts w:hint="eastAsia" w:ascii="宋体" w:hAnsi="宋体"/>
          <w:color w:val="000000"/>
          <w:u w:val="single"/>
          <w:lang w:eastAsia="zh-CN"/>
        </w:rPr>
        <w:t xml:space="preserve">         </w:t>
      </w:r>
      <w:r>
        <w:rPr>
          <w:rFonts w:hint="eastAsia" w:ascii="宋体" w:hAnsi="宋体"/>
          <w:color w:val="000000"/>
        </w:rPr>
        <w:t>），租赁期内租赁费不递增。</w:t>
      </w:r>
    </w:p>
    <w:p w14:paraId="09DDD24E">
      <w:pPr>
        <w:pStyle w:val="2"/>
        <w:spacing w:line="360" w:lineRule="auto"/>
        <w:ind w:left="0" w:leftChars="0" w:firstLine="480"/>
        <w:jc w:val="left"/>
        <w:rPr>
          <w:rFonts w:hint="eastAsia" w:ascii="宋体" w:hAnsi="宋体"/>
          <w:color w:val="000000"/>
        </w:rPr>
      </w:pPr>
      <w:r>
        <w:rPr>
          <w:rFonts w:hint="eastAsia" w:ascii="宋体" w:hAnsi="宋体"/>
          <w:color w:val="000000"/>
        </w:rPr>
        <w:t>合同签订后，甲方组织人员依据《房屋租赁考核实施办法》及《综合管理中心房屋租赁考核打分表》对乙方进行考核，根据考核结果，扣除相应项目的罚款后，7个工作日内向乙方据实结算</w:t>
      </w:r>
      <w:r>
        <w:rPr>
          <w:rFonts w:hint="eastAsia" w:ascii="宋体" w:hAnsi="宋体"/>
          <w:color w:val="000000"/>
          <w:u w:val="single"/>
          <w:lang w:val="en-US" w:eastAsia="zh-CN"/>
        </w:rPr>
        <w:t xml:space="preserve"> 3</w:t>
      </w:r>
      <w:r>
        <w:rPr>
          <w:rFonts w:hint="eastAsia" w:ascii="宋体" w:hAnsi="宋体"/>
          <w:color w:val="000000"/>
        </w:rPr>
        <w:t>个月租赁费，即：</w:t>
      </w:r>
      <w:r>
        <w:rPr>
          <w:rFonts w:hint="eastAsia" w:ascii="宋体" w:hAnsi="宋体"/>
          <w:color w:val="000000"/>
          <w:highlight w:val="none"/>
        </w:rPr>
        <w:t>合同总价款-考核罚款=应支付租赁费。</w:t>
      </w:r>
      <w:r>
        <w:rPr>
          <w:rFonts w:hint="eastAsia" w:ascii="宋体" w:hAnsi="宋体"/>
          <w:color w:val="000000"/>
        </w:rPr>
        <w:t>每次付款时，XXXXXX需向甲方提供租赁费的增值税普通发票。</w:t>
      </w:r>
    </w:p>
    <w:p w14:paraId="0A8F9B82">
      <w:pPr>
        <w:pStyle w:val="2"/>
        <w:spacing w:line="360" w:lineRule="auto"/>
        <w:ind w:firstLine="480"/>
        <w:jc w:val="left"/>
        <w:rPr>
          <w:rFonts w:hint="eastAsia" w:ascii="宋体" w:hAnsi="宋体"/>
          <w:color w:val="000000"/>
        </w:rPr>
      </w:pPr>
      <w:r>
        <w:rPr>
          <w:rFonts w:hint="eastAsia" w:ascii="宋体" w:hAnsi="宋体"/>
          <w:color w:val="000000"/>
        </w:rPr>
        <w:t>XXXXXX账户如下：</w:t>
      </w:r>
    </w:p>
    <w:p w14:paraId="5B4CFF28">
      <w:pPr>
        <w:pStyle w:val="2"/>
        <w:spacing w:line="360" w:lineRule="auto"/>
        <w:ind w:firstLine="480"/>
        <w:jc w:val="left"/>
        <w:rPr>
          <w:rFonts w:hint="eastAsia" w:ascii="宋体" w:hAnsi="宋体"/>
          <w:color w:val="000000"/>
        </w:rPr>
      </w:pPr>
      <w:r>
        <w:rPr>
          <w:rFonts w:hint="eastAsia" w:ascii="宋体" w:hAnsi="宋体"/>
          <w:color w:val="000000"/>
        </w:rPr>
        <w:t>账  号：</w:t>
      </w:r>
    </w:p>
    <w:p w14:paraId="36000EC1">
      <w:pPr>
        <w:pStyle w:val="2"/>
        <w:spacing w:line="360" w:lineRule="auto"/>
        <w:ind w:firstLine="480"/>
        <w:jc w:val="left"/>
        <w:rPr>
          <w:rFonts w:hint="eastAsia" w:ascii="宋体" w:hAnsi="宋体"/>
          <w:color w:val="000000"/>
        </w:rPr>
      </w:pPr>
      <w:r>
        <w:rPr>
          <w:rFonts w:hint="eastAsia" w:ascii="宋体" w:hAnsi="宋体"/>
          <w:color w:val="000000"/>
        </w:rPr>
        <w:t>账户名：</w:t>
      </w:r>
    </w:p>
    <w:p w14:paraId="4A5CF60E">
      <w:pPr>
        <w:pStyle w:val="2"/>
        <w:spacing w:line="360" w:lineRule="auto"/>
        <w:ind w:firstLine="480"/>
        <w:jc w:val="left"/>
        <w:rPr>
          <w:rFonts w:hint="eastAsia" w:ascii="宋体" w:hAnsi="宋体"/>
          <w:color w:val="000000"/>
        </w:rPr>
      </w:pPr>
      <w:r>
        <w:rPr>
          <w:rFonts w:hint="eastAsia" w:ascii="宋体" w:hAnsi="宋体"/>
          <w:color w:val="000000"/>
        </w:rPr>
        <w:t>开户行：</w:t>
      </w:r>
    </w:p>
    <w:p w14:paraId="0C678217">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五、双方的权利和义务</w:t>
      </w:r>
    </w:p>
    <w:p w14:paraId="27B9C90F">
      <w:pPr>
        <w:pStyle w:val="2"/>
        <w:spacing w:line="360" w:lineRule="auto"/>
        <w:ind w:left="0" w:leftChars="0" w:firstLine="480"/>
        <w:jc w:val="left"/>
        <w:rPr>
          <w:rFonts w:hint="eastAsia" w:ascii="宋体" w:hAnsi="宋体"/>
          <w:color w:val="000000"/>
        </w:rPr>
      </w:pPr>
      <w:r>
        <w:rPr>
          <w:rFonts w:hint="eastAsia" w:ascii="宋体" w:hAnsi="宋体"/>
          <w:color w:val="000000"/>
        </w:rPr>
        <w:t>（一）甲方的权利和义务</w:t>
      </w:r>
    </w:p>
    <w:p w14:paraId="71ACE6BF">
      <w:pPr>
        <w:pStyle w:val="2"/>
        <w:spacing w:line="360" w:lineRule="auto"/>
        <w:ind w:left="0" w:leftChars="0" w:firstLine="480"/>
        <w:jc w:val="left"/>
        <w:rPr>
          <w:rFonts w:hint="eastAsia" w:ascii="宋体" w:hAnsi="宋体"/>
          <w:color w:val="000000"/>
        </w:rPr>
      </w:pPr>
      <w:r>
        <w:rPr>
          <w:rFonts w:hint="eastAsia" w:ascii="宋体" w:hAnsi="宋体"/>
          <w:color w:val="000000"/>
        </w:rPr>
        <w:t>1．租赁房屋由乙方负责进行维修并承担费用。乙方未履行维修义务的，甲方可以自行维修，维修费用由乙方负担，由甲方从租赁费中扣除。</w:t>
      </w:r>
    </w:p>
    <w:p w14:paraId="589BF3AF">
      <w:pPr>
        <w:pStyle w:val="2"/>
        <w:spacing w:line="360" w:lineRule="auto"/>
        <w:ind w:left="0" w:leftChars="0" w:firstLine="480"/>
        <w:jc w:val="left"/>
        <w:rPr>
          <w:rFonts w:hint="eastAsia" w:ascii="宋体" w:hAnsi="宋体"/>
          <w:color w:val="000000"/>
        </w:rPr>
      </w:pPr>
      <w:r>
        <w:rPr>
          <w:rFonts w:hint="eastAsia" w:ascii="宋体" w:hAnsi="宋体"/>
          <w:color w:val="000000"/>
        </w:rPr>
        <w:t>2．租赁房屋内的宽带、电话等公共服务设施及开户、使用由甲方自行办理相关手续及承担相关费用。</w:t>
      </w:r>
    </w:p>
    <w:p w14:paraId="79F5718B">
      <w:pPr>
        <w:pStyle w:val="2"/>
        <w:spacing w:line="360" w:lineRule="auto"/>
        <w:ind w:left="0" w:leftChars="0" w:firstLine="480"/>
        <w:jc w:val="left"/>
        <w:rPr>
          <w:rFonts w:hint="eastAsia" w:ascii="宋体" w:hAnsi="宋体"/>
          <w:color w:val="000000"/>
        </w:rPr>
      </w:pPr>
      <w:r>
        <w:rPr>
          <w:rFonts w:hint="eastAsia" w:ascii="宋体" w:hAnsi="宋体"/>
          <w:color w:val="000000"/>
        </w:rPr>
        <w:t>3．承租期内，租赁房屋的防火安全，治安事件，安全事故，综合治理及安全保卫、环保、创卫等工作，甲方应执行政府有关部门以的规定并承担相应责任。</w:t>
      </w:r>
    </w:p>
    <w:p w14:paraId="5B241D63">
      <w:pPr>
        <w:pStyle w:val="2"/>
        <w:spacing w:line="360" w:lineRule="auto"/>
        <w:ind w:left="0" w:leftChars="0" w:firstLine="480"/>
        <w:jc w:val="left"/>
        <w:rPr>
          <w:rFonts w:hint="eastAsia" w:ascii="宋体" w:hAnsi="宋体"/>
          <w:color w:val="000000"/>
        </w:rPr>
      </w:pPr>
      <w:r>
        <w:rPr>
          <w:rFonts w:hint="eastAsia" w:ascii="宋体" w:hAnsi="宋体"/>
          <w:color w:val="000000"/>
        </w:rPr>
        <w:t>4．甲方保证对租赁房屋的使用和一切经营活动遵守国家和地方有关的法律法规，并遵守乙方及物业管理公司有关房屋管理的规定。</w:t>
      </w:r>
    </w:p>
    <w:p w14:paraId="7F78CE2D">
      <w:pPr>
        <w:pStyle w:val="2"/>
        <w:spacing w:line="360" w:lineRule="auto"/>
        <w:ind w:left="0" w:leftChars="0" w:firstLine="480"/>
        <w:jc w:val="left"/>
        <w:rPr>
          <w:rFonts w:hint="eastAsia" w:ascii="宋体" w:hAnsi="宋体"/>
          <w:color w:val="000000"/>
        </w:rPr>
      </w:pPr>
      <w:r>
        <w:rPr>
          <w:rFonts w:hint="eastAsia" w:ascii="宋体" w:hAnsi="宋体"/>
          <w:color w:val="000000"/>
        </w:rPr>
        <w:t>5．甲方不许自行或允许他人在租赁房屋内存放有毒有害、易燃易爆、腐蚀性的危险物品，亦不得自行或允许他人在租赁房屋内放置超过楼层设计载荷的物品，或装设可能引起震动、噪音、异味、干扰的机具，甲方应对由此造成的安全责任、人身伤害、财产损失（包含甲方房屋）承担赔偿责任，并且乙方有权解除合同。</w:t>
      </w:r>
    </w:p>
    <w:p w14:paraId="1326D00F">
      <w:pPr>
        <w:pStyle w:val="2"/>
        <w:spacing w:line="360" w:lineRule="auto"/>
        <w:ind w:left="0" w:leftChars="0" w:firstLine="480"/>
        <w:jc w:val="left"/>
        <w:rPr>
          <w:rFonts w:hint="eastAsia" w:ascii="宋体" w:hAnsi="宋体"/>
          <w:color w:val="000000"/>
        </w:rPr>
      </w:pPr>
      <w:r>
        <w:rPr>
          <w:rFonts w:hint="eastAsia" w:ascii="宋体" w:hAnsi="宋体"/>
          <w:color w:val="000000"/>
        </w:rPr>
        <w:t>6．甲方自行负责租赁房屋、所经营货物、物品及其他设施、消费客户的安全，包括对自然灾害的保险及治安防盗等。甲方应对租赁范围内发生的安全责任、人身伤害、财产损失（包含乙方房屋）承担相应责任并赔偿损失。</w:t>
      </w:r>
    </w:p>
    <w:p w14:paraId="20E10E3A">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7．甲方架设或悬挂宣传牌，应遵守政府有关管理规定经审批许可，产生的相关费用由乙方承担。乙方对所架设或悬挂宣传牌承担管理及维护责任，应对由此造成的安全责任、人身伤害、财产损失（包含乙方房屋）承担责任。</w:t>
      </w:r>
    </w:p>
    <w:p w14:paraId="377E38DE">
      <w:pPr>
        <w:pStyle w:val="2"/>
        <w:spacing w:line="360" w:lineRule="auto"/>
        <w:ind w:left="0" w:leftChars="0" w:firstLine="480"/>
        <w:jc w:val="left"/>
        <w:rPr>
          <w:rFonts w:hint="eastAsia" w:ascii="宋体" w:hAnsi="宋体"/>
          <w:color w:val="000000"/>
        </w:rPr>
      </w:pPr>
      <w:r>
        <w:rPr>
          <w:rFonts w:hint="eastAsia" w:ascii="宋体" w:hAnsi="宋体"/>
          <w:color w:val="000000"/>
        </w:rPr>
        <w:t>8．乙方于租赁期间内将租赁房屋之所有权移转与第三人时，乙方应按本合同约定履行通知义务，甲方有优先购买权，否则乙方应赔偿由此给甲方造成的损失。如甲方未行使优先购买权，本合同之权利义务依法概括转让给该受让第三人，甲方同意配合签署权利义务概括转让协议及附属法律文件。如甲方不配合签署相关协议的，则乙方和新的所有权人共同通知甲方之日起，租赁关系转移至第三人与甲方之间。</w:t>
      </w:r>
    </w:p>
    <w:p w14:paraId="3FBA1E71">
      <w:pPr>
        <w:pStyle w:val="2"/>
        <w:spacing w:line="360" w:lineRule="auto"/>
        <w:ind w:left="0" w:leftChars="0" w:firstLine="480"/>
        <w:jc w:val="left"/>
        <w:rPr>
          <w:rFonts w:hint="eastAsia" w:ascii="宋体" w:hAnsi="宋体"/>
          <w:color w:val="000000"/>
        </w:rPr>
      </w:pPr>
      <w:r>
        <w:rPr>
          <w:rFonts w:hint="eastAsia" w:ascii="宋体" w:hAnsi="宋体"/>
          <w:color w:val="000000"/>
        </w:rPr>
        <w:t>9．甲方同意在合同履行期间，乙方可将基于本合同享有的收取租赁费用之权利转让予第三人，但乙方应提前30日以书面形式通知甲方，甲方不持异议且同意配合签署相关文件，惟此移转不得影响甲方依本合同享有之权利，之后甲方将租赁费用交付给第三人视为已履行本合同约定的支付租赁费用义务。</w:t>
      </w:r>
    </w:p>
    <w:p w14:paraId="0EEEBDEA">
      <w:pPr>
        <w:pStyle w:val="2"/>
        <w:spacing w:line="360" w:lineRule="auto"/>
        <w:ind w:left="0" w:leftChars="0" w:firstLine="480"/>
        <w:jc w:val="left"/>
        <w:rPr>
          <w:rFonts w:hint="eastAsia" w:ascii="宋体" w:hAnsi="宋体"/>
          <w:color w:val="000000"/>
        </w:rPr>
      </w:pPr>
      <w:r>
        <w:rPr>
          <w:rFonts w:hint="eastAsia" w:ascii="宋体" w:hAnsi="宋体"/>
          <w:color w:val="000000"/>
        </w:rPr>
        <w:t>10．承租期内甲方应保持租赁房屋及各项附属设施设备清洁完好，在租赁期满时，将其以正常状态（正常磨损除外）交还乙方。</w:t>
      </w:r>
    </w:p>
    <w:p w14:paraId="0E44C26C">
      <w:pPr>
        <w:pStyle w:val="2"/>
        <w:spacing w:line="360" w:lineRule="auto"/>
        <w:ind w:left="0" w:leftChars="0" w:firstLine="480"/>
        <w:jc w:val="left"/>
        <w:rPr>
          <w:rFonts w:hint="eastAsia" w:ascii="宋体" w:hAnsi="宋体"/>
          <w:color w:val="000000"/>
        </w:rPr>
      </w:pPr>
      <w:r>
        <w:rPr>
          <w:rFonts w:hint="eastAsia" w:ascii="宋体" w:hAnsi="宋体"/>
          <w:color w:val="000000"/>
        </w:rPr>
        <w:t>（二）乙方的权利和义务</w:t>
      </w:r>
    </w:p>
    <w:p w14:paraId="305A4D83">
      <w:pPr>
        <w:pStyle w:val="2"/>
        <w:spacing w:line="360" w:lineRule="auto"/>
        <w:ind w:left="0" w:leftChars="0" w:firstLine="480"/>
        <w:jc w:val="left"/>
        <w:rPr>
          <w:rFonts w:hint="eastAsia" w:ascii="宋体" w:hAnsi="宋体"/>
          <w:color w:val="000000"/>
        </w:rPr>
      </w:pPr>
      <w:r>
        <w:rPr>
          <w:rFonts w:hint="eastAsia" w:ascii="宋体" w:hAnsi="宋体"/>
          <w:color w:val="000000"/>
        </w:rPr>
        <w:t>1．租赁期内，乙方应尽所有努力，确保对房屋的维护、维修，不得对该房屋或乙方的资产造成任何损坏，不得永久性或实质性改变该房屋结构或尺寸，损害该房屋或公共区域的安全或干扰甲方使用该房屋。</w:t>
      </w:r>
    </w:p>
    <w:p w14:paraId="3545C9C9">
      <w:pPr>
        <w:pStyle w:val="2"/>
        <w:spacing w:line="360" w:lineRule="auto"/>
        <w:ind w:left="0" w:leftChars="0" w:firstLine="480"/>
        <w:jc w:val="left"/>
        <w:rPr>
          <w:rFonts w:hint="eastAsia" w:ascii="宋体" w:hAnsi="宋体"/>
          <w:color w:val="000000"/>
        </w:rPr>
      </w:pPr>
      <w:r>
        <w:rPr>
          <w:rFonts w:hint="eastAsia" w:ascii="宋体" w:hAnsi="宋体"/>
          <w:color w:val="000000"/>
        </w:rPr>
        <w:t>2．租赁房屋内部二次消防设施由乙方建设并办理申报、施工及验收手续，并承担相关费用。</w:t>
      </w:r>
    </w:p>
    <w:p w14:paraId="098B7497">
      <w:pPr>
        <w:pStyle w:val="2"/>
        <w:spacing w:line="360" w:lineRule="auto"/>
        <w:ind w:left="0" w:leftChars="0" w:firstLine="480"/>
        <w:jc w:val="left"/>
        <w:rPr>
          <w:rFonts w:hint="eastAsia" w:ascii="宋体" w:hAnsi="宋体"/>
          <w:color w:val="000000"/>
        </w:rPr>
      </w:pPr>
      <w:r>
        <w:rPr>
          <w:rFonts w:hint="eastAsia" w:ascii="宋体" w:hAnsi="宋体"/>
          <w:color w:val="000000"/>
        </w:rPr>
        <w:t>3．承租期内，乙方应对租赁房屋主体结构及原有配套设</w:t>
      </w:r>
      <w:r>
        <w:rPr>
          <w:rFonts w:hint="eastAsia" w:ascii="宋体" w:hAnsi="宋体"/>
          <w:color w:val="000000"/>
          <w:highlight w:val="none"/>
        </w:rPr>
        <w:t>施每年</w:t>
      </w:r>
      <w:r>
        <w:rPr>
          <w:rFonts w:hint="eastAsia" w:ascii="宋体" w:hAnsi="宋体"/>
          <w:color w:val="000000"/>
        </w:rPr>
        <w:t>检查、修缮时，甲方应予积极协助，不得阻挠施工。但乙方应提前以书面形式告知甲方，如对甲方造成影响的，需由甲乙双方共同协商确定检查、修缮时间，且该维修不得对甲方造成不必要的损失，否则乙方应承担赔偿责任。</w:t>
      </w:r>
    </w:p>
    <w:p w14:paraId="225E5182">
      <w:pPr>
        <w:pStyle w:val="2"/>
        <w:spacing w:line="360" w:lineRule="auto"/>
        <w:ind w:left="0" w:leftChars="0" w:firstLine="480"/>
        <w:jc w:val="left"/>
        <w:rPr>
          <w:rFonts w:hint="eastAsia" w:ascii="宋体" w:hAnsi="宋体"/>
          <w:color w:val="000000"/>
        </w:rPr>
      </w:pPr>
      <w:r>
        <w:rPr>
          <w:rFonts w:hint="eastAsia" w:ascii="宋体" w:hAnsi="宋体"/>
          <w:color w:val="000000"/>
        </w:rPr>
        <w:t>4．租赁房屋甲方不得有供赌博等非法经营或目的之使用。租赁房屋之公共区域及公共设备等，甲方不得放置物品或为居住，加装设备等任何方式之占用，遵守物业管理规约相关安全规则。</w:t>
      </w:r>
    </w:p>
    <w:p w14:paraId="22EDEC45">
      <w:pPr>
        <w:pStyle w:val="2"/>
        <w:spacing w:line="360" w:lineRule="auto"/>
        <w:ind w:left="0" w:leftChars="0" w:firstLine="480"/>
        <w:jc w:val="left"/>
        <w:rPr>
          <w:rFonts w:hint="eastAsia" w:ascii="宋体" w:hAnsi="宋体"/>
          <w:color w:val="000000"/>
        </w:rPr>
      </w:pPr>
      <w:r>
        <w:rPr>
          <w:rFonts w:hint="eastAsia" w:ascii="宋体" w:hAnsi="宋体"/>
          <w:color w:val="000000"/>
        </w:rPr>
        <w:t>5．租赁期内，乙方应保证不得无故解除合同，不得阻碍、干扰甲方按照合同约定占有、使用租赁房屋，并应协调相邻业主或租户关系，保证甲方能够正常使用租赁房屋。</w:t>
      </w:r>
    </w:p>
    <w:p w14:paraId="7716094A">
      <w:pPr>
        <w:pStyle w:val="2"/>
        <w:spacing w:line="360" w:lineRule="auto"/>
        <w:ind w:left="0" w:leftChars="0" w:firstLine="480"/>
        <w:jc w:val="left"/>
        <w:rPr>
          <w:rFonts w:hint="eastAsia" w:ascii="宋体" w:hAnsi="宋体"/>
          <w:color w:val="000000"/>
        </w:rPr>
      </w:pPr>
      <w:r>
        <w:rPr>
          <w:rFonts w:hint="eastAsia" w:ascii="宋体" w:hAnsi="宋体"/>
          <w:color w:val="000000"/>
        </w:rPr>
        <w:t>6．租赁期内，乙方应确保甲方及其员工、访客、客户能够不受妨碍地进出租赁房屋，不得对甲方所租赁房屋停水停电或阻碍甲方进入租赁房屋。</w:t>
      </w:r>
    </w:p>
    <w:p w14:paraId="17F55549">
      <w:pPr>
        <w:pStyle w:val="2"/>
        <w:spacing w:line="360" w:lineRule="auto"/>
        <w:ind w:left="0" w:leftChars="0" w:firstLine="480"/>
        <w:jc w:val="left"/>
        <w:rPr>
          <w:rFonts w:hint="eastAsia" w:ascii="宋体" w:hAnsi="宋体"/>
          <w:color w:val="000000"/>
        </w:rPr>
      </w:pPr>
      <w:r>
        <w:rPr>
          <w:rFonts w:hint="eastAsia" w:ascii="宋体" w:hAnsi="宋体"/>
          <w:color w:val="000000"/>
        </w:rPr>
        <w:t>7．租赁期间，甲方如欲将租赁房屋进行房屋转租或分租，必须征得乙方的书面同意；否则转租或分租无效，乙方有权解除租赁合同。</w:t>
      </w:r>
    </w:p>
    <w:p w14:paraId="2122F8B2">
      <w:pPr>
        <w:pStyle w:val="2"/>
        <w:spacing w:line="360" w:lineRule="auto"/>
        <w:ind w:left="0" w:leftChars="0" w:firstLine="480"/>
        <w:jc w:val="left"/>
        <w:rPr>
          <w:rFonts w:hint="eastAsia" w:ascii="宋体" w:hAnsi="宋体"/>
          <w:color w:val="000000"/>
        </w:rPr>
      </w:pPr>
      <w:r>
        <w:rPr>
          <w:rFonts w:hint="eastAsia" w:ascii="宋体" w:hAnsi="宋体"/>
          <w:color w:val="000000"/>
        </w:rPr>
        <w:t>8．租期届满后，甲方在规定的搬离期限届满后未搬离，经乙方书面催告的搬离期限届满后，或搬离后仍遗留在租赁房屋内甲方的所有物品、设施等视为甲方抛弃物，乙方有权自主搬离或处置。在甲方未付清房屋租赁费用、水电等费用或应承担违约责任的情况下，甲方同意乙方对甲方的装修、装饰添附物及内部经营物品有留置权。甲方未及时办理交接的，逾期视为房屋附属设施、设备已移交乙方，且均符合约定，甲方不再对房屋附属设施、设备承担任何责任。</w:t>
      </w:r>
    </w:p>
    <w:p w14:paraId="768F443F">
      <w:pPr>
        <w:pStyle w:val="2"/>
        <w:spacing w:line="360" w:lineRule="auto"/>
        <w:ind w:left="0" w:leftChars="0" w:firstLine="480"/>
        <w:jc w:val="left"/>
        <w:rPr>
          <w:rFonts w:ascii="宋体" w:hAnsi="宋体"/>
          <w:color w:val="000000"/>
        </w:rPr>
      </w:pPr>
      <w:r>
        <w:rPr>
          <w:rFonts w:hint="eastAsia" w:ascii="宋体" w:hAnsi="宋体"/>
          <w:color w:val="000000"/>
        </w:rPr>
        <w:t>9．租赁期满或双方协商一致提前终止合同，自租赁期满或双方约定的交屋日之次日，乙方即对租赁房屋享有占有、使用、收益、处分之权利。若甲方在租赁期满或双方约定的交屋日仍未将租赁房屋返还乙方，乙方应书面告知甲方并给予不少于10天的搬离期限，搬离期限届满后，则甲方同意乙方采取包括但不限于破除锁具等方式进入租赁房屋，因此造成的任何损失及责任均由甲方承担。</w:t>
      </w:r>
    </w:p>
    <w:p w14:paraId="6D26F951">
      <w:pPr>
        <w:pStyle w:val="2"/>
        <w:spacing w:line="360" w:lineRule="auto"/>
        <w:ind w:left="0" w:leftChars="0" w:firstLine="480"/>
        <w:jc w:val="left"/>
        <w:rPr>
          <w:rFonts w:hint="eastAsia" w:ascii="宋体" w:hAnsi="宋体"/>
          <w:color w:val="000000"/>
          <w:lang w:eastAsia="zh-CN"/>
        </w:rPr>
      </w:pPr>
      <w:r>
        <w:rPr>
          <w:rFonts w:hint="eastAsia" w:ascii="宋体" w:hAnsi="宋体"/>
          <w:color w:val="000000"/>
          <w:lang w:eastAsia="zh-CN"/>
        </w:rPr>
        <w:t>1</w:t>
      </w:r>
      <w:r>
        <w:rPr>
          <w:rFonts w:ascii="宋体" w:hAnsi="宋体"/>
          <w:color w:val="000000"/>
          <w:lang w:eastAsia="zh-CN"/>
        </w:rPr>
        <w:t>0.</w:t>
      </w:r>
      <w:r>
        <w:rPr>
          <w:rFonts w:hint="eastAsia" w:ascii="宋体" w:hAnsi="宋体"/>
          <w:color w:val="000000"/>
          <w:lang w:eastAsia="zh-CN"/>
        </w:rPr>
        <w:t>乙方应在西安市公共资源交易中心入驻前达到使用单位装修要求标准及家具配备标准。</w:t>
      </w:r>
    </w:p>
    <w:p w14:paraId="3B930C62">
      <w:pPr>
        <w:pStyle w:val="2"/>
        <w:spacing w:line="360" w:lineRule="auto"/>
        <w:ind w:left="0" w:leftChars="0" w:firstLine="480"/>
        <w:jc w:val="left"/>
        <w:rPr>
          <w:rFonts w:hint="eastAsia" w:ascii="宋体" w:hAnsi="宋体"/>
          <w:color w:val="000000"/>
        </w:rPr>
      </w:pPr>
      <w:r>
        <w:rPr>
          <w:rFonts w:hint="eastAsia" w:ascii="宋体" w:hAnsi="宋体"/>
          <w:color w:val="000000"/>
        </w:rPr>
        <w:t>（三）免责条款</w:t>
      </w:r>
    </w:p>
    <w:p w14:paraId="4FD510C6">
      <w:pPr>
        <w:pStyle w:val="2"/>
        <w:spacing w:line="360" w:lineRule="auto"/>
        <w:ind w:left="0" w:leftChars="0" w:firstLine="480"/>
        <w:jc w:val="left"/>
        <w:rPr>
          <w:rFonts w:hint="eastAsia" w:ascii="宋体" w:hAnsi="宋体"/>
          <w:color w:val="000000"/>
        </w:rPr>
      </w:pPr>
      <w:r>
        <w:rPr>
          <w:rFonts w:hint="eastAsia" w:ascii="宋体" w:hAnsi="宋体"/>
          <w:color w:val="000000"/>
        </w:rPr>
        <w:t>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110CCA42">
      <w:pPr>
        <w:pStyle w:val="2"/>
        <w:spacing w:line="360" w:lineRule="auto"/>
        <w:ind w:left="0" w:leftChars="0" w:firstLine="0" w:firstLineChars="0"/>
        <w:jc w:val="left"/>
        <w:rPr>
          <w:rFonts w:hint="eastAsia" w:ascii="宋体" w:hAnsi="宋体"/>
          <w:color w:val="000000"/>
        </w:rPr>
      </w:pPr>
      <w:r>
        <w:rPr>
          <w:rFonts w:hint="eastAsia" w:ascii="宋体" w:hAnsi="宋体"/>
          <w:color w:val="000000"/>
        </w:rPr>
        <w:t>六、质量保证</w:t>
      </w:r>
    </w:p>
    <w:p w14:paraId="1930FB79">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乙方所供服务必须执行下列条款：</w:t>
      </w:r>
    </w:p>
    <w:p w14:paraId="31C88D33">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（一）服务方案和方式科学、可行，人员配置合理，全面满足要求。</w:t>
      </w:r>
    </w:p>
    <w:p w14:paraId="4689E5E5">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（二）符合国家有关服务规范要求，确保各项服务达到最佳运行效果。</w:t>
      </w:r>
    </w:p>
    <w:p w14:paraId="22ADE6F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（三）乙方提供的服务，若发生侵权而产生的一切后果，由乙方负责。甲方保留索赔权力。</w:t>
      </w:r>
    </w:p>
    <w:p w14:paraId="0FABCB4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（四）乙方须按照甲方的使用需求提供装修方案，装修方案应当完全符合国家和地方相关的装修规范。</w:t>
      </w:r>
    </w:p>
    <w:p w14:paraId="539F31A0">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（五）乙方须根据甲方确定的装饰、装修方案组织实施租赁房屋内部装饰、装修的设计、施工，设计费、物料费、施工费等所有费用由乙方承担。</w:t>
      </w:r>
    </w:p>
    <w:p w14:paraId="63DD0C18">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（六）乙方须按照甲方的要求，为所出租房屋内配备办公家具，由此所产生的相关费用由乙方承担。</w:t>
      </w:r>
    </w:p>
    <w:p w14:paraId="5D53B749">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七）在租赁期限内乙方应保证所出租房屋的正常使用。乙方须承担房屋主体结构、给排水管道、取暖设施设备、电力设施设备等相关配套设施设备的维修和保养。对租赁物因质量问题或装修问题影响采购单位正常使用或造成的安全隐患(包括但不限于房屋及附属设施和设备的不能正常使用、损坏、漏水、线路出现问题等)负责。发生问题时，须及时安排人员维修，保证在当天内恢复正常使用状态。</w:t>
      </w:r>
    </w:p>
    <w:p w14:paraId="07544AAB">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（八）在租赁期限内乙方须按要求配备消防设施设备，并负责所有消防设施设备的维修和保养，确保甲方的正常使用。</w:t>
      </w:r>
    </w:p>
    <w:p w14:paraId="53421CBC">
      <w:pPr>
        <w:pStyle w:val="2"/>
        <w:spacing w:line="360" w:lineRule="auto"/>
        <w:ind w:left="0" w:leftChars="0" w:firstLine="0" w:firstLineChars="0"/>
        <w:jc w:val="left"/>
        <w:rPr>
          <w:rFonts w:hint="eastAsia" w:ascii="宋体" w:hAnsi="宋体"/>
          <w:color w:val="000000"/>
          <w:lang w:eastAsia="zh-CN"/>
        </w:rPr>
      </w:pPr>
      <w:r>
        <w:rPr>
          <w:rFonts w:hint="eastAsia" w:ascii="宋体" w:hAnsi="宋体"/>
          <w:color w:val="000000"/>
        </w:rPr>
        <w:t>七、考核</w:t>
      </w:r>
    </w:p>
    <w:p w14:paraId="157EDAD2">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甲方</w:t>
      </w:r>
      <w:r>
        <w:rPr>
          <w:rFonts w:hint="eastAsia" w:ascii="宋体" w:hAnsi="宋体"/>
          <w:color w:val="auto"/>
          <w:highlight w:val="none"/>
          <w:lang w:val="en-US" w:eastAsia="zh-CN"/>
        </w:rPr>
        <w:t>服务期（3个月）</w:t>
      </w:r>
      <w:r>
        <w:rPr>
          <w:rFonts w:hint="eastAsia" w:ascii="宋体" w:hAnsi="宋体"/>
          <w:color w:val="000000"/>
        </w:rPr>
        <w:t>组织人员依据《西安市集中办公区综合管理中心房屋租赁考核实施办法》对乙方进行一次考核，考核满分100分。考核时乙方应派人员参加，共同对考核结果进行确认，并承担相关责任。达到服务要求项目，根据对应评分标准得对应分值；未达到服务要求项目不得分，考核工作负责人填写扣分说明并由乙方项目负责人签字确认。考核成绩将作为房屋租赁费支付合同的依据。</w:t>
      </w:r>
    </w:p>
    <w:p w14:paraId="53951730">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甲方应在服务期开始前组织人员对乙方进行考核，考核完成后，甲方方应依据考核扣分情况从乙方租金中扣除罚款金额后（乙方交纳的考核罚款数应为当前服务期所扣分数乘以1分所对应的房屋租赁费金额，每分对应金额为XXXX元，即：</w:t>
      </w:r>
      <w:r>
        <w:rPr>
          <w:rFonts w:hint="eastAsia" w:ascii="宋体" w:hAnsi="宋体"/>
          <w:color w:val="000000"/>
          <w:highlight w:val="none"/>
        </w:rPr>
        <w:t>租赁费XXXX元除以 100</w:t>
      </w:r>
      <w:r>
        <w:rPr>
          <w:rFonts w:hint="eastAsia" w:ascii="宋体" w:hAnsi="宋体"/>
          <w:color w:val="000000"/>
        </w:rPr>
        <w:t>)，支付乙方租赁费，罚款金额备存。同时，综合管理中心向乙方出具考核罚款交纳收据。</w:t>
      </w:r>
    </w:p>
    <w:p w14:paraId="1F95465E">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八、验收</w:t>
      </w:r>
    </w:p>
    <w:p w14:paraId="44F5FCD3">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（一）服务内容完成后先由乙方进行自检，自检合格后邀请甲方进行 验收。甲方确认乙方的自检内容后，组织乙方（必要时请有关专家）进行 最终验收，验收时乙方应派员参加，共同对验收结果进行确认，并承担相 关责任。验收合格后，填写政府采购项目履约验收单（一式伍份）作为对服务的最终认可。政府采购项目履约验收单送采购代理机构一份。</w:t>
      </w:r>
    </w:p>
    <w:p w14:paraId="39ADA095">
      <w:pPr>
        <w:pStyle w:val="2"/>
        <w:spacing w:line="360" w:lineRule="auto"/>
        <w:ind w:left="0" w:leftChars="0" w:firstLine="480"/>
        <w:jc w:val="left"/>
        <w:rPr>
          <w:rFonts w:hint="eastAsia" w:ascii="宋体" w:hAnsi="宋体" w:eastAsia="宋体"/>
          <w:color w:val="000000"/>
          <w:lang w:eastAsia="zh-CN"/>
        </w:rPr>
      </w:pPr>
      <w:r>
        <w:rPr>
          <w:rFonts w:hint="eastAsia" w:ascii="宋体" w:hAnsi="宋体"/>
          <w:color w:val="000000"/>
        </w:rPr>
        <w:t>（二）乙方向甲方提交服务实施过程中的所有资料。以便甲方日后管理和维护</w:t>
      </w:r>
      <w:r>
        <w:rPr>
          <w:rFonts w:hint="eastAsia" w:ascii="宋体" w:hAnsi="宋体"/>
          <w:color w:val="000000"/>
          <w:lang w:eastAsia="zh-CN"/>
        </w:rPr>
        <w:t>。</w:t>
      </w:r>
    </w:p>
    <w:p w14:paraId="6182020F">
      <w:pPr>
        <w:pStyle w:val="2"/>
        <w:spacing w:line="360" w:lineRule="auto"/>
        <w:ind w:left="0" w:leftChars="0" w:firstLine="480"/>
        <w:jc w:val="left"/>
        <w:rPr>
          <w:rFonts w:hint="eastAsia" w:ascii="宋体" w:hAnsi="宋体"/>
          <w:color w:val="000000"/>
        </w:rPr>
      </w:pPr>
      <w:r>
        <w:rPr>
          <w:rFonts w:hint="eastAsia" w:ascii="宋体" w:hAnsi="宋体"/>
          <w:color w:val="000000"/>
        </w:rPr>
        <w:t>（三）验收依据：</w:t>
      </w:r>
    </w:p>
    <w:p w14:paraId="6A3C99DC">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1．单一来源采购文件、单一来源采购响应文件、澄清表（函）；</w:t>
      </w:r>
    </w:p>
    <w:p w14:paraId="0D69303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2．本合同及附件文本；</w:t>
      </w:r>
    </w:p>
    <w:p w14:paraId="6E37ED8C">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3．国家相应的标准、规范。</w:t>
      </w:r>
    </w:p>
    <w:p w14:paraId="5F4DCED5">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九、违约责任</w:t>
      </w:r>
    </w:p>
    <w:p w14:paraId="635EA95B">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（一）按《中华人民共和国民法典》中的相关条款执行。</w:t>
      </w:r>
    </w:p>
    <w:p w14:paraId="3079E80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二）未按合同要求提供服务或服务质量不能满足合同要求，甲方应当将乙方违约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3F880C70">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（三）在本合同履行过程中，双方因违约或造成对方经济、社会效益等损失的应当赔偿。</w:t>
      </w:r>
    </w:p>
    <w:p w14:paraId="2CA7CC1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（四）甲方逾期付款的，则每日按逾期金额的0.01%向乙方偿付违约金。</w:t>
      </w:r>
    </w:p>
    <w:p w14:paraId="5B773626">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（五）乙方提供的服务不符合本项目相关文件和本合同规定的，甲方有权拒绝，并且乙方须向甲方支付本合同总价款0.01%的违约金。</w:t>
      </w:r>
    </w:p>
    <w:p w14:paraId="62970BC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（六）乙方有下列各款规定情形之一且在甲方告知后仍未改正者，甲方可以书面通知乙方单方解除本合同，双方合同自通知之日解除，乙方应退还甲方已付但未到期之租赁费用：</w:t>
      </w:r>
    </w:p>
    <w:p w14:paraId="0D48596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1．乙方延期交付租赁房屋超过15日的。</w:t>
      </w:r>
    </w:p>
    <w:p w14:paraId="60F413FD">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2．乙方不承担约定的维修义务，致使甲方无法正常使用该房屋的。</w:t>
      </w:r>
    </w:p>
    <w:p w14:paraId="4D74B03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3．乙方交付的房屋不符合合同约定，或者影响甲方安全或人员健康的。</w:t>
      </w:r>
    </w:p>
    <w:p w14:paraId="0D6AB278">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4．乙方无法保证租赁房屋及其设施正常使用，水、电等经常无法正常供给，严重妨碍甲方日常办公，经甲方书面通知要求改正后15日内仍未得到纠正的(但非因甲方过错造成的除外)。</w:t>
      </w:r>
    </w:p>
    <w:p w14:paraId="5F59B231">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5．第三人主张权利，致使甲方不能对租赁物使用、收益的。</w:t>
      </w:r>
    </w:p>
    <w:p w14:paraId="46A67A4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6．乙方不履行合同约定其他义务致使甲方无法正常使用部分或全部租贷房屋及其附属设备超过30日，且经书面催告仍未纠正的。</w:t>
      </w:r>
    </w:p>
    <w:p w14:paraId="2316DF6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（七）未经甲方同意，乙方不得擅自将本合同服务转包第三方承担。</w:t>
      </w:r>
    </w:p>
    <w:p w14:paraId="37E1FFD2">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（八）甲方之终止事由</w:t>
      </w:r>
    </w:p>
    <w:p w14:paraId="271BC3DB">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因不可归责于双方之事由，致租赁房屋之全部或一部遭受天灾、地震、战争、内乱或其他不可抗力事故等原因而不能使用者，经双方确认后甲方可就以不能使用部分之面积与本租赁房屋之面积之比例，减少租赁费用，直至受损部分完全恢复使用为止；或经双方书面同意后终止本合同。</w:t>
      </w:r>
    </w:p>
    <w:p w14:paraId="640E3B02">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2．因不可归责于甲方之事由致本租赁房屋毁损，剩余部分已不符合甲方使用之目的的，甲方可以书面通知乙方终止本合同。</w:t>
      </w:r>
    </w:p>
    <w:p w14:paraId="248BB37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3．因前两项情形而终止本合同时，乙方应于确认甲方已履行本合同规定之所有义务后，于本合同终止60日内由甲方以书面形式通知乙方。</w:t>
      </w:r>
    </w:p>
    <w:p w14:paraId="0893F7A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（九）乙方之终止事由</w:t>
      </w:r>
    </w:p>
    <w:p w14:paraId="12E15049">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甲方有下列各款规定情形之一且在乙方告知后仍未改正者，乙方可以书面通知甲方单方终止本合同，双方合同自通知之日解除，甲方应赔偿乙方因此所发生之一切损失：</w:t>
      </w:r>
    </w:p>
    <w:p w14:paraId="1228D780">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1．甲方延迟支付或拒付租赁费用达30日及以上。</w:t>
      </w:r>
    </w:p>
    <w:p w14:paraId="004ABEF9">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2．甲方自行携入、存放或同意第三人携入、存放任何武器、弹药、硝石、煤油、液化瓦斯等易燃、爆炸之违禁物或危险物品于租赁房屋内。</w:t>
      </w:r>
    </w:p>
    <w:p w14:paraId="6B7E6146">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3．甲方严重违反物业管理规约或者损害租赁房屋主体结构或附属设施，经催告拒不承担修缮责任的；</w:t>
      </w:r>
    </w:p>
    <w:p w14:paraId="5A20D893">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4．甲方在签订和履行合同中存在欺诈、弄虚作假、胁迫等损害乙方和物业公司利益情形的。</w:t>
      </w:r>
    </w:p>
    <w:p w14:paraId="033E529C">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十、保密条款</w:t>
      </w:r>
    </w:p>
    <w:p w14:paraId="5BF60565">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B7A9E77">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EC2A40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（三）本条款为独立条款，本合同的无效、变更、解除和终止均不影响本条款的效力。</w:t>
      </w:r>
    </w:p>
    <w:p w14:paraId="0057AB20">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（四）乙方应对本合同及涉及甲方办公、业务场所图纸等资料承担保密责任，未经许可不得提供给第三方。市财政局正式入驻办公后，乙方人员需经许可方可进入办公区域。</w:t>
      </w:r>
    </w:p>
    <w:p w14:paraId="01A86578">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（五）甲乙双方依本条所负之保密义务，于本合同终止或租赁期间届满后一年内仍继续有效。</w:t>
      </w:r>
    </w:p>
    <w:p w14:paraId="5FC691F8">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十一、争议解决</w:t>
      </w:r>
    </w:p>
    <w:p w14:paraId="60F191CB">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（一）本合同在履行过程中发生的争议，由甲、乙双方当事人协商解决，协商不成的按下列第 1 种方式解决：</w:t>
      </w:r>
    </w:p>
    <w:p w14:paraId="4DF6FA86">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1．提交西安仲裁委员会仲裁；</w:t>
      </w:r>
    </w:p>
    <w:p w14:paraId="512BA839">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2．依法向甲方所在地人民法院起诉。</w:t>
      </w:r>
    </w:p>
    <w:p w14:paraId="2AFA6481">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（二）本条款为独立条款，本合同的无效、变更、解除和终止均不影响本条款的效力。</w:t>
      </w:r>
    </w:p>
    <w:p w14:paraId="074F7ADF">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十二、合同变更</w:t>
      </w:r>
    </w:p>
    <w:p w14:paraId="5407581C">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75B2293E">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十三、合同生效</w:t>
      </w:r>
    </w:p>
    <w:p w14:paraId="79BE4F1A">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本合同一式拾份，甲方持叁份，乙方持叁份，鉴证方持壹份，西安市财政局政府采购管理处备案叁份，本合同甲、乙、鉴证各方签字盖章后生效，合同执行完毕后，自动失效（合同的服务承诺则长期有效）。</w:t>
      </w:r>
    </w:p>
    <w:p w14:paraId="13AFEC7C">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十四、其他事项</w:t>
      </w:r>
    </w:p>
    <w:p w14:paraId="67B02D02">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（一）鉴证方作为集中采购代理机构对合同进行确认。</w:t>
      </w:r>
    </w:p>
    <w:p w14:paraId="0DE15F9B">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（二）西安市财政局政府采购管理处在合同的履行期间以及履行期后，可以随时检查项目的执行情况，对采购标准、采购内容进行调查核实，并对发现的问题进行处理。</w:t>
      </w:r>
    </w:p>
    <w:p w14:paraId="6CD1967A">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（三）单一来源采购文件、单一来源采购响应文件、澄清表（函）、成交通知书、合同附件均成为合同不可分割的部分。</w:t>
      </w:r>
    </w:p>
    <w:p w14:paraId="3F2837A4">
      <w:pPr>
        <w:pStyle w:val="2"/>
        <w:spacing w:line="360" w:lineRule="auto"/>
        <w:ind w:left="0" w:leftChars="0" w:firstLine="480"/>
        <w:jc w:val="left"/>
        <w:rPr>
          <w:rFonts w:hint="eastAsia" w:ascii="宋体" w:hAnsi="宋体"/>
          <w:color w:val="000000"/>
          <w:lang w:eastAsia="zh-CN"/>
        </w:rPr>
      </w:pPr>
      <w:r>
        <w:rPr>
          <w:rFonts w:hint="eastAsia" w:ascii="宋体" w:hAnsi="宋体"/>
          <w:color w:val="000000"/>
        </w:rPr>
        <w:t>（四）合同未尽事宜，由甲、乙双方协商并经鉴证方确认后签订政府采购补充合同，与原合同具有同等法律效力。</w:t>
      </w:r>
    </w:p>
    <w:p w14:paraId="755AD283">
      <w:pPr>
        <w:pStyle w:val="2"/>
        <w:spacing w:line="360" w:lineRule="auto"/>
        <w:ind w:left="0" w:leftChars="0" w:firstLine="480"/>
        <w:jc w:val="left"/>
        <w:rPr>
          <w:rFonts w:ascii="宋体" w:hAnsi="宋体"/>
          <w:color w:val="000000"/>
          <w:lang w:eastAsia="zh-CN"/>
        </w:rPr>
      </w:pPr>
    </w:p>
    <w:p w14:paraId="24B59437">
      <w:pPr>
        <w:pStyle w:val="2"/>
        <w:ind w:left="0" w:leftChars="0" w:firstLine="480"/>
        <w:jc w:val="left"/>
        <w:rPr>
          <w:rFonts w:ascii="宋体" w:hAnsi="宋体"/>
          <w:color w:val="000000"/>
        </w:rPr>
      </w:pPr>
      <w:r>
        <w:rPr>
          <w:rFonts w:ascii="宋体" w:hAnsi="宋体"/>
          <w:color w:val="000000"/>
        </w:rPr>
        <w:t>承租方（甲方）：</w:t>
      </w:r>
      <w:r>
        <w:rPr>
          <w:rFonts w:hint="eastAsia" w:ascii="宋体" w:hAnsi="宋体"/>
          <w:color w:val="000000"/>
          <w:u w:val="single"/>
          <w:lang w:eastAsia="zh-CN"/>
        </w:rPr>
        <w:t xml:space="preserve">               </w:t>
      </w:r>
      <w:r>
        <w:rPr>
          <w:rFonts w:hint="eastAsia" w:ascii="宋体" w:hAnsi="宋体"/>
          <w:color w:val="000000"/>
        </w:rPr>
        <w:t>（盖章）</w:t>
      </w:r>
    </w:p>
    <w:p w14:paraId="5B809948">
      <w:pPr>
        <w:pStyle w:val="2"/>
        <w:ind w:left="0" w:leftChars="0" w:firstLine="480"/>
        <w:jc w:val="left"/>
        <w:rPr>
          <w:rFonts w:hint="eastAsia" w:ascii="宋体" w:hAnsi="宋体"/>
          <w:color w:val="000000"/>
          <w:u w:val="single"/>
          <w:lang w:eastAsia="zh-CN"/>
        </w:rPr>
      </w:pPr>
      <w:r>
        <w:rPr>
          <w:rFonts w:ascii="宋体" w:hAnsi="宋体"/>
          <w:color w:val="000000"/>
        </w:rPr>
        <w:t>法定代表人：</w:t>
      </w:r>
      <w:r>
        <w:rPr>
          <w:rFonts w:hint="eastAsia" w:ascii="宋体" w:hAnsi="宋体"/>
          <w:color w:val="000000"/>
          <w:u w:val="single"/>
          <w:lang w:eastAsia="zh-CN"/>
        </w:rPr>
        <w:t xml:space="preserve">                </w:t>
      </w:r>
    </w:p>
    <w:p w14:paraId="2424ED4C">
      <w:pPr>
        <w:pStyle w:val="2"/>
        <w:ind w:left="0" w:leftChars="0" w:firstLine="480"/>
        <w:jc w:val="left"/>
        <w:rPr>
          <w:rFonts w:hint="eastAsia" w:ascii="宋体" w:hAnsi="宋体"/>
          <w:color w:val="000000"/>
          <w:u w:val="single"/>
          <w:lang w:eastAsia="zh-CN"/>
        </w:rPr>
      </w:pPr>
      <w:r>
        <w:rPr>
          <w:rFonts w:ascii="宋体" w:hAnsi="宋体"/>
          <w:color w:val="000000"/>
        </w:rPr>
        <w:t>统一社会信用代码：</w:t>
      </w:r>
      <w:r>
        <w:rPr>
          <w:rFonts w:hint="eastAsia" w:ascii="宋体" w:hAnsi="宋体"/>
          <w:color w:val="000000"/>
          <w:u w:val="single"/>
          <w:lang w:eastAsia="zh-CN"/>
        </w:rPr>
        <w:t xml:space="preserve">                </w:t>
      </w:r>
    </w:p>
    <w:p w14:paraId="269A2BC4">
      <w:pPr>
        <w:pStyle w:val="2"/>
        <w:ind w:left="0" w:leftChars="0" w:firstLine="480"/>
        <w:jc w:val="left"/>
        <w:rPr>
          <w:rFonts w:hint="eastAsia" w:ascii="宋体" w:hAnsi="宋体"/>
          <w:color w:val="000000"/>
          <w:u w:val="single"/>
          <w:lang w:eastAsia="zh-CN"/>
        </w:rPr>
      </w:pPr>
      <w:r>
        <w:rPr>
          <w:rFonts w:ascii="宋体" w:hAnsi="宋体"/>
          <w:color w:val="000000"/>
        </w:rPr>
        <w:t>住所：</w:t>
      </w:r>
      <w:r>
        <w:rPr>
          <w:rFonts w:hint="eastAsia" w:ascii="宋体" w:hAnsi="宋体"/>
          <w:color w:val="000000"/>
          <w:u w:val="single"/>
          <w:lang w:eastAsia="zh-CN"/>
        </w:rPr>
        <w:t xml:space="preserve">                </w:t>
      </w:r>
    </w:p>
    <w:p w14:paraId="4CC14BC5">
      <w:pPr>
        <w:pStyle w:val="2"/>
        <w:ind w:left="0" w:leftChars="0" w:firstLine="480"/>
        <w:jc w:val="left"/>
        <w:rPr>
          <w:rFonts w:hint="eastAsia" w:ascii="宋体" w:hAnsi="宋体"/>
          <w:color w:val="000000"/>
          <w:u w:val="single"/>
          <w:lang w:eastAsia="zh-CN"/>
        </w:rPr>
      </w:pPr>
      <w:r>
        <w:rPr>
          <w:rFonts w:ascii="宋体" w:hAnsi="宋体"/>
          <w:color w:val="000000"/>
        </w:rPr>
        <w:t>联系方式：</w:t>
      </w:r>
      <w:r>
        <w:rPr>
          <w:rFonts w:hint="eastAsia" w:ascii="宋体" w:hAnsi="宋体"/>
          <w:color w:val="000000"/>
          <w:u w:val="single"/>
          <w:lang w:eastAsia="zh-CN"/>
        </w:rPr>
        <w:t xml:space="preserve">                </w:t>
      </w:r>
    </w:p>
    <w:p w14:paraId="440B70CE">
      <w:pPr>
        <w:pStyle w:val="2"/>
        <w:ind w:left="0" w:leftChars="0" w:firstLine="480"/>
        <w:jc w:val="left"/>
        <w:rPr>
          <w:rFonts w:hint="eastAsia" w:ascii="宋体" w:hAnsi="宋体"/>
          <w:color w:val="000000"/>
        </w:rPr>
      </w:pPr>
    </w:p>
    <w:p w14:paraId="2A0D7AF4">
      <w:pPr>
        <w:pStyle w:val="2"/>
        <w:ind w:left="0" w:leftChars="0" w:firstLine="480"/>
        <w:jc w:val="left"/>
        <w:rPr>
          <w:rFonts w:hint="eastAsia" w:ascii="宋体" w:hAnsi="宋体"/>
          <w:color w:val="000000"/>
          <w:u w:val="single"/>
          <w:lang w:eastAsia="zh-CN"/>
        </w:rPr>
      </w:pPr>
      <w:r>
        <w:rPr>
          <w:rFonts w:ascii="宋体" w:hAnsi="宋体"/>
          <w:color w:val="000000"/>
        </w:rPr>
        <w:t>出租方（乙方）：</w:t>
      </w:r>
      <w:r>
        <w:rPr>
          <w:rFonts w:hint="eastAsia" w:ascii="宋体" w:hAnsi="宋体"/>
          <w:color w:val="000000"/>
          <w:u w:val="single"/>
          <w:lang w:eastAsia="zh-CN"/>
        </w:rPr>
        <w:t xml:space="preserve">                     </w:t>
      </w:r>
      <w:r>
        <w:rPr>
          <w:rFonts w:hint="eastAsia" w:ascii="宋体" w:hAnsi="宋体"/>
          <w:color w:val="000000"/>
          <w:lang w:eastAsia="zh-CN"/>
        </w:rPr>
        <w:t>（盖章）</w:t>
      </w:r>
    </w:p>
    <w:p w14:paraId="55250E3E">
      <w:pPr>
        <w:pStyle w:val="2"/>
        <w:ind w:left="0" w:leftChars="0" w:firstLine="480"/>
        <w:jc w:val="left"/>
        <w:rPr>
          <w:rFonts w:hint="eastAsia" w:ascii="宋体" w:hAnsi="宋体"/>
          <w:color w:val="000000"/>
          <w:u w:val="single"/>
          <w:lang w:eastAsia="zh-CN"/>
        </w:rPr>
      </w:pPr>
      <w:r>
        <w:rPr>
          <w:rFonts w:ascii="宋体" w:hAnsi="宋体"/>
          <w:color w:val="000000"/>
        </w:rPr>
        <w:t>法定代表人：</w:t>
      </w:r>
      <w:r>
        <w:rPr>
          <w:rFonts w:hint="eastAsia" w:ascii="宋体" w:hAnsi="宋体"/>
          <w:color w:val="000000"/>
          <w:u w:val="single"/>
          <w:lang w:eastAsia="zh-CN"/>
        </w:rPr>
        <w:t xml:space="preserve">                         </w:t>
      </w:r>
    </w:p>
    <w:p w14:paraId="1B027D9C">
      <w:pPr>
        <w:pStyle w:val="2"/>
        <w:ind w:left="0" w:leftChars="0" w:firstLine="480"/>
        <w:jc w:val="left"/>
        <w:rPr>
          <w:rFonts w:hint="eastAsia" w:ascii="宋体" w:hAnsi="宋体"/>
          <w:color w:val="000000"/>
          <w:u w:val="single"/>
          <w:lang w:eastAsia="zh-CN"/>
        </w:rPr>
      </w:pPr>
      <w:r>
        <w:rPr>
          <w:rFonts w:ascii="宋体" w:hAnsi="宋体"/>
          <w:color w:val="000000"/>
        </w:rPr>
        <w:t>统一社会信用代码：</w:t>
      </w:r>
      <w:r>
        <w:rPr>
          <w:rFonts w:hint="eastAsia" w:ascii="宋体" w:hAnsi="宋体"/>
          <w:color w:val="000000"/>
          <w:u w:val="single"/>
          <w:lang w:eastAsia="zh-CN"/>
        </w:rPr>
        <w:t xml:space="preserve">                   </w:t>
      </w:r>
    </w:p>
    <w:p w14:paraId="01FBF88F">
      <w:pPr>
        <w:pStyle w:val="2"/>
        <w:ind w:left="0" w:leftChars="0" w:firstLine="480"/>
        <w:jc w:val="left"/>
        <w:rPr>
          <w:rFonts w:hint="eastAsia" w:ascii="宋体" w:hAnsi="宋体"/>
          <w:color w:val="000000"/>
          <w:u w:val="single"/>
          <w:lang w:eastAsia="zh-CN"/>
        </w:rPr>
      </w:pPr>
      <w:r>
        <w:rPr>
          <w:rFonts w:ascii="宋体" w:hAnsi="宋体"/>
          <w:color w:val="000000"/>
        </w:rPr>
        <w:t>住所：</w:t>
      </w:r>
      <w:r>
        <w:rPr>
          <w:rFonts w:hint="eastAsia" w:ascii="宋体" w:hAnsi="宋体"/>
          <w:color w:val="000000"/>
          <w:u w:val="single"/>
          <w:lang w:eastAsia="zh-CN"/>
        </w:rPr>
        <w:t xml:space="preserve">                               </w:t>
      </w:r>
    </w:p>
    <w:p w14:paraId="760D22FD">
      <w:pPr>
        <w:pStyle w:val="2"/>
        <w:ind w:left="0" w:leftChars="0" w:firstLine="480"/>
        <w:jc w:val="left"/>
        <w:rPr>
          <w:rFonts w:hint="eastAsia" w:ascii="宋体" w:hAnsi="宋体"/>
          <w:color w:val="000000"/>
        </w:rPr>
      </w:pPr>
      <w:r>
        <w:rPr>
          <w:rFonts w:ascii="宋体" w:hAnsi="宋体"/>
          <w:color w:val="000000"/>
        </w:rPr>
        <w:t>联系方式：</w:t>
      </w:r>
    </w:p>
    <w:p w14:paraId="1C05538B">
      <w:pPr>
        <w:pStyle w:val="2"/>
        <w:ind w:left="0" w:leftChars="0" w:firstLine="480"/>
        <w:jc w:val="left"/>
        <w:rPr>
          <w:rFonts w:ascii="宋体" w:hAnsi="宋体"/>
          <w:color w:val="000000"/>
        </w:rPr>
      </w:pPr>
    </w:p>
    <w:p w14:paraId="1041DEF3">
      <w:pPr>
        <w:pStyle w:val="2"/>
        <w:ind w:left="0" w:leftChars="0" w:firstLine="480"/>
        <w:jc w:val="left"/>
        <w:rPr>
          <w:rFonts w:hint="eastAsia" w:ascii="宋体" w:hAnsi="宋体"/>
          <w:color w:val="000000"/>
        </w:rPr>
      </w:pPr>
      <w:r>
        <w:rPr>
          <w:rFonts w:ascii="宋体" w:hAnsi="宋体"/>
          <w:color w:val="000000"/>
        </w:rPr>
        <w:t>鉴证方：</w:t>
      </w:r>
      <w:r>
        <w:rPr>
          <w:rFonts w:hint="eastAsia" w:ascii="宋体" w:hAnsi="宋体"/>
          <w:color w:val="000000"/>
          <w:u w:val="single"/>
          <w:lang w:eastAsia="zh-CN"/>
        </w:rPr>
        <w:t xml:space="preserve">                </w:t>
      </w:r>
      <w:r>
        <w:rPr>
          <w:rFonts w:hint="eastAsia" w:ascii="宋体" w:hAnsi="宋体"/>
          <w:color w:val="000000"/>
        </w:rPr>
        <w:t>（盖章）</w:t>
      </w:r>
    </w:p>
    <w:p w14:paraId="42E59FAE">
      <w:pPr>
        <w:pStyle w:val="2"/>
        <w:ind w:left="0" w:leftChars="0" w:firstLine="480"/>
        <w:jc w:val="left"/>
        <w:rPr>
          <w:rFonts w:hint="eastAsia" w:ascii="宋体" w:hAnsi="宋体"/>
          <w:color w:val="000000"/>
          <w:u w:val="single"/>
          <w:lang w:eastAsia="zh-CN"/>
        </w:rPr>
      </w:pPr>
      <w:r>
        <w:rPr>
          <w:rFonts w:ascii="宋体" w:hAnsi="宋体"/>
          <w:color w:val="000000"/>
        </w:rPr>
        <w:t>法定代表人：</w:t>
      </w:r>
      <w:r>
        <w:rPr>
          <w:rFonts w:hint="eastAsia" w:ascii="宋体" w:hAnsi="宋体"/>
          <w:color w:val="000000"/>
          <w:u w:val="single"/>
          <w:lang w:eastAsia="zh-CN"/>
        </w:rPr>
        <w:t xml:space="preserve">                     </w:t>
      </w:r>
    </w:p>
    <w:p w14:paraId="3BB3B630">
      <w:pPr>
        <w:pStyle w:val="2"/>
        <w:ind w:left="0" w:leftChars="0" w:firstLine="480"/>
        <w:jc w:val="left"/>
        <w:rPr>
          <w:rFonts w:hint="eastAsia" w:ascii="宋体" w:hAnsi="宋体"/>
          <w:color w:val="000000"/>
          <w:u w:val="single"/>
          <w:lang w:eastAsia="zh-CN"/>
        </w:rPr>
      </w:pPr>
      <w:r>
        <w:rPr>
          <w:rFonts w:ascii="宋体" w:hAnsi="宋体"/>
          <w:color w:val="000000"/>
        </w:rPr>
        <w:t>统一社会信用代码：</w:t>
      </w:r>
      <w:r>
        <w:rPr>
          <w:rFonts w:hint="eastAsia" w:ascii="宋体" w:hAnsi="宋体"/>
          <w:color w:val="000000"/>
          <w:u w:val="single"/>
          <w:lang w:eastAsia="zh-CN"/>
        </w:rPr>
        <w:t xml:space="preserve">                </w:t>
      </w:r>
    </w:p>
    <w:p w14:paraId="2ECA877C">
      <w:pPr>
        <w:pStyle w:val="2"/>
        <w:ind w:left="0" w:leftChars="0" w:firstLine="480"/>
        <w:jc w:val="left"/>
        <w:rPr>
          <w:rFonts w:hint="eastAsia" w:ascii="宋体" w:hAnsi="宋体"/>
          <w:color w:val="000000"/>
          <w:u w:val="single"/>
          <w:lang w:eastAsia="zh-CN"/>
        </w:rPr>
      </w:pPr>
      <w:r>
        <w:rPr>
          <w:rFonts w:ascii="宋体" w:hAnsi="宋体"/>
          <w:color w:val="000000"/>
        </w:rPr>
        <w:t>住所：</w:t>
      </w:r>
      <w:r>
        <w:rPr>
          <w:rFonts w:hint="eastAsia" w:ascii="宋体" w:hAnsi="宋体"/>
          <w:color w:val="000000"/>
          <w:u w:val="single"/>
          <w:lang w:eastAsia="zh-CN"/>
        </w:rPr>
        <w:t xml:space="preserve">                </w:t>
      </w:r>
    </w:p>
    <w:p w14:paraId="79D17529">
      <w:pPr>
        <w:pStyle w:val="2"/>
        <w:ind w:left="0" w:leftChars="0" w:firstLine="480"/>
        <w:jc w:val="left"/>
        <w:rPr>
          <w:rFonts w:hint="eastAsia" w:ascii="宋体" w:hAnsi="宋体"/>
          <w:color w:val="000000"/>
          <w:u w:val="single"/>
          <w:lang w:eastAsia="zh-CN"/>
        </w:rPr>
      </w:pPr>
      <w:r>
        <w:rPr>
          <w:rFonts w:ascii="宋体" w:hAnsi="宋体"/>
          <w:color w:val="000000"/>
        </w:rPr>
        <w:t>联系方式：</w:t>
      </w:r>
      <w:r>
        <w:rPr>
          <w:rFonts w:hint="eastAsia" w:ascii="宋体" w:hAnsi="宋体"/>
          <w:color w:val="000000"/>
          <w:u w:val="single"/>
          <w:lang w:eastAsia="zh-CN"/>
        </w:rPr>
        <w:t xml:space="preserve">                </w:t>
      </w:r>
    </w:p>
    <w:p w14:paraId="388F427E">
      <w:pPr>
        <w:pStyle w:val="2"/>
        <w:ind w:left="0" w:leftChars="0" w:firstLine="480"/>
        <w:jc w:val="left"/>
        <w:rPr>
          <w:rFonts w:hint="eastAsia" w:ascii="宋体" w:hAnsi="宋体"/>
          <w:color w:val="000000"/>
          <w:lang w:eastAsia="zh-CN"/>
        </w:rPr>
      </w:pPr>
    </w:p>
    <w:p w14:paraId="3A859C7C">
      <w:pP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附件：</w:t>
      </w:r>
    </w:p>
    <w:p w14:paraId="30A5C9F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方正小标宋简体" w:hAnsi="方正小标宋简体" w:eastAsia="方正小标宋简体" w:cs="方正小标宋简体"/>
          <w:b w:val="0"/>
          <w:bCs w:val="0"/>
          <w:color w:val="auto"/>
          <w:spacing w:val="-1"/>
          <w:sz w:val="40"/>
          <w:szCs w:val="40"/>
          <w:highlight w:val="none"/>
        </w:rPr>
      </w:pPr>
      <w:r>
        <w:rPr>
          <w:rFonts w:hint="eastAsia" w:ascii="方正小标宋简体" w:hAnsi="方正小标宋简体" w:eastAsia="方正小标宋简体" w:cs="方正小标宋简体"/>
          <w:b w:val="0"/>
          <w:bCs w:val="0"/>
          <w:color w:val="auto"/>
          <w:spacing w:val="-1"/>
          <w:sz w:val="40"/>
          <w:szCs w:val="40"/>
          <w:highlight w:val="none"/>
        </w:rPr>
        <w:t>西安市集中办公区综合管理中心</w:t>
      </w:r>
    </w:p>
    <w:p w14:paraId="1270DBD7">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firstLineChars="0"/>
        <w:jc w:val="center"/>
        <w:textAlignment w:val="baseline"/>
        <w:rPr>
          <w:rFonts w:hint="eastAsia" w:ascii="方正小标宋简体" w:hAnsi="方正小标宋简体" w:eastAsia="方正小标宋简体" w:cs="方正小标宋简体"/>
          <w:b w:val="0"/>
          <w:bCs w:val="0"/>
          <w:color w:val="auto"/>
          <w:sz w:val="40"/>
          <w:szCs w:val="40"/>
          <w:highlight w:val="none"/>
        </w:rPr>
      </w:pPr>
      <w:r>
        <w:rPr>
          <w:rFonts w:hint="eastAsia" w:ascii="方正小标宋简体" w:hAnsi="方正小标宋简体" w:eastAsia="方正小标宋简体" w:cs="方正小标宋简体"/>
          <w:b w:val="0"/>
          <w:bCs w:val="0"/>
          <w:color w:val="auto"/>
          <w:spacing w:val="-1"/>
          <w:sz w:val="40"/>
          <w:szCs w:val="40"/>
          <w:highlight w:val="none"/>
        </w:rPr>
        <w:t>房屋租赁考核实施办法</w:t>
      </w:r>
    </w:p>
    <w:p w14:paraId="4DDB393E">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z w:val="32"/>
          <w:szCs w:val="32"/>
          <w:highlight w:val="none"/>
        </w:rPr>
      </w:pPr>
      <w:r>
        <w:rPr>
          <w:rFonts w:hint="eastAsia" w:ascii="仿宋" w:hAnsi="仿宋" w:eastAsia="仿宋" w:cs="仿宋"/>
          <w:color w:val="auto"/>
          <w:spacing w:val="-2"/>
          <w:sz w:val="32"/>
          <w:szCs w:val="32"/>
          <w:highlight w:val="none"/>
        </w:rPr>
        <w:t>为规范市级机关各集中办公区办公及业务用房租赁活动，实现房屋租赁目标，维护甲乙双方的合法权益，根据《</w:t>
      </w:r>
      <w:r>
        <w:rPr>
          <w:rFonts w:hint="eastAsia" w:ascii="仿宋" w:hAnsi="仿宋" w:eastAsia="仿宋" w:cs="仿宋"/>
          <w:color w:val="auto"/>
          <w:spacing w:val="-2"/>
          <w:sz w:val="32"/>
          <w:szCs w:val="32"/>
          <w:highlight w:val="none"/>
          <w:lang w:eastAsia="zh-CN"/>
        </w:rPr>
        <w:t>中华人民共和国民法典</w:t>
      </w:r>
      <w:r>
        <w:rPr>
          <w:rFonts w:hint="eastAsia" w:ascii="仿宋" w:hAnsi="仿宋" w:eastAsia="仿宋" w:cs="仿宋"/>
          <w:color w:val="auto"/>
          <w:spacing w:val="-2"/>
          <w:sz w:val="32"/>
          <w:szCs w:val="32"/>
          <w:highlight w:val="none"/>
        </w:rPr>
        <w:t>》、《机关事务管理条例》、《西安市市级党政机关办公（业务）用房租用管理暂行规定》，结合各集中办公区房屋租赁实际，制定以下房屋租赁考核办法。</w:t>
      </w:r>
    </w:p>
    <w:p w14:paraId="68D0E957">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一、考核目的</w:t>
      </w:r>
    </w:p>
    <w:p w14:paraId="3980BF22">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通过对房屋租赁企业的考核，调动房屋租赁企业的积极性、主动性、创造性，以达 到规范房屋租赁企业行为，促进房屋租赁向规范化、精细化发展，为广大干部职工提供优质高效的服务保障，营造干净</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优质、舒适的办公环境。</w:t>
      </w:r>
    </w:p>
    <w:p w14:paraId="6A0923AB">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二、考核项目</w:t>
      </w:r>
    </w:p>
    <w:p w14:paraId="4661CC2C">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房屋租赁企业资质，租赁房屋区域内房屋主体结构、给排水管道、取暖设施设备、电力设施设备等相关配套设施设备的维修和保养，消防设施设备配备、维修、维护、管理，租赁房屋区域内办公家具配备、维修、更换</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软件资料收集、分类和管理，以及工作执行力、安全隐患处置、投诉处置等情况。</w:t>
      </w:r>
    </w:p>
    <w:p w14:paraId="0FBBEE98">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三、考核办法</w:t>
      </w:r>
    </w:p>
    <w:p w14:paraId="2D4A4479">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(一)责任单位</w:t>
      </w:r>
    </w:p>
    <w:p w14:paraId="04064305">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由西安市集中办公区综合管理中心(以下简称综合管理中心)负责组织考核工作。</w:t>
      </w:r>
    </w:p>
    <w:p w14:paraId="7D4A3632">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(二)考核制度</w:t>
      </w:r>
    </w:p>
    <w:p w14:paraId="772788C3">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1.半年考核</w:t>
      </w:r>
    </w:p>
    <w:p w14:paraId="3700015D">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每半年组织一次考核，对照考核办法及评分标准进行考核,半年考核满分100分。达到服务要求项目</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根据对应评分标准得对应分值；未达到服务要求项目不得分，考核工作负责人填写扣分说明并签字确认</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每半年考核情况由考核工作负责人进行汇总并核算出当月最终分值。</w:t>
      </w:r>
    </w:p>
    <w:p w14:paraId="1E6822DF">
      <w:pPr>
        <w:pStyle w:val="2"/>
        <w:numPr>
          <w:ilvl w:val="0"/>
          <w:numId w:val="0"/>
        </w:numPr>
        <w:ind w:firstLine="632" w:firstLineChars="200"/>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lang w:val="en-US" w:eastAsia="zh-CN"/>
        </w:rPr>
        <w:t>2.年度考核</w:t>
      </w:r>
    </w:p>
    <w:p w14:paraId="54DCF896">
      <w:pPr>
        <w:pStyle w:val="2"/>
        <w:numPr>
          <w:ilvl w:val="0"/>
          <w:numId w:val="0"/>
        </w:numPr>
        <w:ind w:firstLine="632" w:firstLineChars="200"/>
        <w:rPr>
          <w:rFonts w:hint="default" w:ascii="仿宋" w:hAnsi="仿宋" w:eastAsia="仿宋" w:cs="仿宋"/>
          <w:color w:val="auto"/>
          <w:spacing w:val="-2"/>
          <w:sz w:val="32"/>
          <w:szCs w:val="32"/>
          <w:highlight w:val="none"/>
          <w:lang w:val="en-US" w:eastAsia="zh-CN"/>
        </w:rPr>
      </w:pPr>
      <w:r>
        <w:rPr>
          <w:rFonts w:hint="eastAsia" w:ascii="仿宋" w:hAnsi="仿宋" w:eastAsia="仿宋" w:cs="仿宋"/>
          <w:color w:val="auto"/>
          <w:spacing w:val="-2"/>
          <w:sz w:val="32"/>
          <w:szCs w:val="32"/>
          <w:highlight w:val="none"/>
        </w:rPr>
        <w:t>每年组织一次考核</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lang w:val="en-US" w:eastAsia="zh-CN"/>
        </w:rPr>
        <w:t>根据租赁项目起始时间适时进行年度考核</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，对照考核办法及评分标准进行考核,年</w:t>
      </w:r>
      <w:r>
        <w:rPr>
          <w:rFonts w:hint="eastAsia" w:ascii="仿宋" w:hAnsi="仿宋" w:eastAsia="仿宋" w:cs="仿宋"/>
          <w:color w:val="auto"/>
          <w:spacing w:val="-2"/>
          <w:sz w:val="32"/>
          <w:szCs w:val="32"/>
          <w:highlight w:val="none"/>
          <w:lang w:val="en-US" w:eastAsia="zh-CN"/>
        </w:rPr>
        <w:t>度</w:t>
      </w:r>
      <w:r>
        <w:rPr>
          <w:rFonts w:hint="eastAsia" w:ascii="仿宋" w:hAnsi="仿宋" w:eastAsia="仿宋" w:cs="仿宋"/>
          <w:color w:val="auto"/>
          <w:spacing w:val="-2"/>
          <w:sz w:val="32"/>
          <w:szCs w:val="32"/>
          <w:highlight w:val="none"/>
        </w:rPr>
        <w:t>考核满分100分。达到服务要求项目</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根据对应评分标准得对应分值；未达到服务要求项目不得分，考核工作负责人填写扣分说明并签字确认</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年</w:t>
      </w:r>
      <w:r>
        <w:rPr>
          <w:rFonts w:hint="eastAsia" w:ascii="仿宋" w:hAnsi="仿宋" w:eastAsia="仿宋" w:cs="仿宋"/>
          <w:color w:val="auto"/>
          <w:spacing w:val="-2"/>
          <w:sz w:val="32"/>
          <w:szCs w:val="32"/>
          <w:highlight w:val="none"/>
          <w:lang w:val="en-US" w:eastAsia="zh-CN"/>
        </w:rPr>
        <w:t>度</w:t>
      </w:r>
      <w:r>
        <w:rPr>
          <w:rFonts w:hint="eastAsia" w:ascii="仿宋" w:hAnsi="仿宋" w:eastAsia="仿宋" w:cs="仿宋"/>
          <w:color w:val="auto"/>
          <w:spacing w:val="-2"/>
          <w:sz w:val="32"/>
          <w:szCs w:val="32"/>
          <w:highlight w:val="none"/>
        </w:rPr>
        <w:t>考核情况由考核工作负责人进行汇总并核算出当月最终分值。</w:t>
      </w:r>
    </w:p>
    <w:p w14:paraId="7E7761B6">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lang w:val="en-US" w:eastAsia="zh-CN"/>
        </w:rPr>
        <w:t>3.</w:t>
      </w:r>
      <w:r>
        <w:rPr>
          <w:rFonts w:hint="eastAsia" w:ascii="仿宋" w:hAnsi="仿宋" w:eastAsia="仿宋" w:cs="仿宋"/>
          <w:color w:val="auto"/>
          <w:spacing w:val="-2"/>
          <w:sz w:val="32"/>
          <w:szCs w:val="32"/>
          <w:highlight w:val="none"/>
        </w:rPr>
        <w:t>年度综合考评得分计算方法：</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半年考核得分</w:t>
      </w:r>
      <w:r>
        <w:rPr>
          <w:rFonts w:hint="eastAsia" w:ascii="仿宋" w:hAnsi="仿宋" w:eastAsia="仿宋" w:cs="仿宋"/>
          <w:color w:val="auto"/>
          <w:spacing w:val="-2"/>
          <w:sz w:val="32"/>
          <w:szCs w:val="32"/>
          <w:highlight w:val="none"/>
          <w:lang w:val="en-US" w:eastAsia="zh-CN"/>
        </w:rPr>
        <w:t>+年度考核得分）</w:t>
      </w:r>
      <w:r>
        <w:rPr>
          <w:rFonts w:hint="eastAsia" w:ascii="仿宋" w:hAnsi="仿宋" w:eastAsia="仿宋" w:cs="仿宋"/>
          <w:color w:val="auto"/>
          <w:spacing w:val="-2"/>
          <w:sz w:val="32"/>
          <w:szCs w:val="32"/>
          <w:highlight w:val="none"/>
        </w:rPr>
        <w:t>÷2=年度</w:t>
      </w:r>
      <w:r>
        <w:rPr>
          <w:rFonts w:hint="eastAsia" w:ascii="仿宋" w:hAnsi="仿宋" w:eastAsia="仿宋" w:cs="仿宋"/>
          <w:color w:val="auto"/>
          <w:spacing w:val="-2"/>
          <w:sz w:val="32"/>
          <w:szCs w:val="32"/>
          <w:highlight w:val="none"/>
          <w:lang w:val="en-US" w:eastAsia="zh-CN"/>
        </w:rPr>
        <w:t>综合</w:t>
      </w:r>
      <w:r>
        <w:rPr>
          <w:rFonts w:hint="eastAsia" w:ascii="仿宋" w:hAnsi="仿宋" w:eastAsia="仿宋" w:cs="仿宋"/>
          <w:color w:val="auto"/>
          <w:spacing w:val="-2"/>
          <w:sz w:val="32"/>
          <w:szCs w:val="32"/>
          <w:highlight w:val="none"/>
        </w:rPr>
        <w:t>考</w:t>
      </w:r>
      <w:r>
        <w:rPr>
          <w:rFonts w:hint="eastAsia" w:ascii="仿宋" w:hAnsi="仿宋" w:eastAsia="仿宋" w:cs="仿宋"/>
          <w:color w:val="auto"/>
          <w:spacing w:val="-2"/>
          <w:sz w:val="32"/>
          <w:szCs w:val="32"/>
          <w:highlight w:val="none"/>
          <w:lang w:val="en-US" w:eastAsia="zh-CN"/>
        </w:rPr>
        <w:t>评</w:t>
      </w:r>
      <w:r>
        <w:rPr>
          <w:rFonts w:hint="eastAsia" w:ascii="仿宋" w:hAnsi="仿宋" w:eastAsia="仿宋" w:cs="仿宋"/>
          <w:color w:val="auto"/>
          <w:spacing w:val="-2"/>
          <w:sz w:val="32"/>
          <w:szCs w:val="32"/>
          <w:highlight w:val="none"/>
        </w:rPr>
        <w:t>得分。(服务期不满一年的按实际服务月数计)</w:t>
      </w:r>
    </w:p>
    <w:p w14:paraId="2808378B">
      <w:pPr>
        <w:ind w:firstLine="632"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 w:hAnsi="仿宋" w:eastAsia="仿宋" w:cs="仿宋"/>
          <w:color w:val="auto"/>
          <w:spacing w:val="-2"/>
          <w:sz w:val="32"/>
          <w:szCs w:val="32"/>
          <w:highlight w:val="none"/>
          <w:lang w:val="en-US" w:eastAsia="zh-CN"/>
        </w:rPr>
        <w:t>4.房屋租赁企业在出租本项目所在楼栋及其所在楼栋群其他楼栋房屋前，须将拟承租单位情况报西安市集中办公区综合管理中心审核备案。</w:t>
      </w:r>
      <w:r>
        <w:rPr>
          <w:rFonts w:hint="eastAsia" w:ascii="仿宋_GB2312" w:hAnsi="仿宋_GB2312" w:eastAsia="仿宋_GB2312" w:cs="仿宋_GB2312"/>
          <w:color w:val="auto"/>
          <w:kern w:val="2"/>
          <w:sz w:val="32"/>
          <w:szCs w:val="32"/>
          <w:highlight w:val="none"/>
          <w:lang w:val="en-US" w:eastAsia="zh-CN" w:bidi="ar-SA"/>
        </w:rPr>
        <w:t>未经西安市集中办公区综合管理中心审核批准，擅自向其他单位（个人）</w:t>
      </w:r>
      <w:r>
        <w:rPr>
          <w:rFonts w:hint="eastAsia" w:ascii="仿宋" w:hAnsi="仿宋" w:eastAsia="仿宋" w:cs="仿宋"/>
          <w:color w:val="auto"/>
          <w:spacing w:val="-2"/>
          <w:sz w:val="32"/>
          <w:szCs w:val="32"/>
          <w:highlight w:val="none"/>
          <w:lang w:val="en-US" w:eastAsia="zh-CN"/>
        </w:rPr>
        <w:t>出租本项目所在楼栋及其所在楼栋群其他楼栋房屋</w:t>
      </w:r>
      <w:r>
        <w:rPr>
          <w:rFonts w:hint="eastAsia" w:ascii="仿宋_GB2312" w:hAnsi="仿宋_GB2312" w:eastAsia="仿宋_GB2312" w:cs="仿宋_GB2312"/>
          <w:color w:val="auto"/>
          <w:kern w:val="2"/>
          <w:sz w:val="32"/>
          <w:szCs w:val="32"/>
          <w:highlight w:val="none"/>
          <w:lang w:val="en-US" w:eastAsia="zh-CN" w:bidi="ar-SA"/>
        </w:rPr>
        <w:t>：视情扣当前服务周期考核分1-2分；对办公区管理造成不良影响的，视情扣当前服务周期考核分3-5分；对办公区管理造成严重影响的，视情扣除当前服务周期考核分6-10分；对办公区造成恶劣影响的，视情扣当前服务周期考核分11-20分，并终止租赁服务合同。</w:t>
      </w:r>
    </w:p>
    <w:p w14:paraId="09DC9D3F">
      <w:pPr>
        <w:pStyle w:val="8"/>
        <w:ind w:firstLine="48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5.对西安市集中办公区综合管理中心安排的房屋租赁服务保障相关工作无故不落实或落实不力的，视情扣当前服务周期考核分1-5分。</w:t>
      </w:r>
    </w:p>
    <w:p w14:paraId="252DF031">
      <w:pPr>
        <w:pStyle w:val="8"/>
        <w:ind w:firstLine="480"/>
        <w:rPr>
          <w:rFonts w:hint="eastAsia"/>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6.对西安市集中办公区综合管理中心《房屋租赁考核实施办法》《房屋租赁考核表》及其他房屋租赁服务规章制度无故不执行或执行不力的，视情视情扣当前服务周期考核分1-10分。</w:t>
      </w:r>
    </w:p>
    <w:p w14:paraId="4FDA8E7D">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(三)其他</w:t>
      </w:r>
    </w:p>
    <w:p w14:paraId="2AD4D638">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lang w:eastAsia="zh-CN"/>
        </w:rPr>
      </w:pPr>
      <w:r>
        <w:rPr>
          <w:rFonts w:hint="eastAsia" w:ascii="仿宋" w:hAnsi="仿宋" w:eastAsia="仿宋" w:cs="仿宋"/>
          <w:color w:val="auto"/>
          <w:spacing w:val="-2"/>
          <w:sz w:val="32"/>
          <w:szCs w:val="32"/>
          <w:highlight w:val="none"/>
        </w:rPr>
        <w:t>1.考核须保留原始资料(文字、表格、图片、视频)，所有资料均由甲方统一保管，存储时间为一年</w:t>
      </w:r>
      <w:r>
        <w:rPr>
          <w:rFonts w:hint="eastAsia" w:ascii="仿宋" w:hAnsi="仿宋" w:eastAsia="仿宋" w:cs="仿宋"/>
          <w:color w:val="auto"/>
          <w:spacing w:val="-2"/>
          <w:sz w:val="32"/>
          <w:szCs w:val="32"/>
          <w:highlight w:val="none"/>
          <w:lang w:eastAsia="zh-CN"/>
        </w:rPr>
        <w:t>。</w:t>
      </w:r>
    </w:p>
    <w:p w14:paraId="737164A7">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2.综合考核成绩应通知</w:t>
      </w:r>
      <w:r>
        <w:rPr>
          <w:rFonts w:hint="eastAsia" w:ascii="仿宋" w:hAnsi="仿宋" w:eastAsia="仿宋" w:cs="仿宋"/>
          <w:color w:val="auto"/>
          <w:spacing w:val="-2"/>
          <w:sz w:val="32"/>
          <w:szCs w:val="32"/>
          <w:highlight w:val="none"/>
          <w:lang w:val="en-US" w:eastAsia="zh-CN"/>
        </w:rPr>
        <w:t>及时</w:t>
      </w:r>
      <w:r>
        <w:rPr>
          <w:rFonts w:hint="eastAsia" w:ascii="仿宋" w:hAnsi="仿宋" w:eastAsia="仿宋" w:cs="仿宋"/>
          <w:color w:val="auto"/>
          <w:spacing w:val="-2"/>
          <w:sz w:val="32"/>
          <w:szCs w:val="32"/>
          <w:highlight w:val="none"/>
        </w:rPr>
        <w:t>乙方，如有异议，须在24小时内书面报甲方，经核实后报送</w:t>
      </w:r>
      <w:r>
        <w:rPr>
          <w:rFonts w:hint="eastAsia" w:ascii="仿宋" w:hAnsi="仿宋" w:eastAsia="仿宋" w:cs="仿宋"/>
          <w:color w:val="auto"/>
          <w:spacing w:val="-2"/>
          <w:sz w:val="32"/>
          <w:szCs w:val="32"/>
          <w:highlight w:val="none"/>
          <w:lang w:val="en-US" w:eastAsia="zh-CN"/>
        </w:rPr>
        <w:t>西安市集中办公区综合管理中心</w:t>
      </w:r>
      <w:r>
        <w:rPr>
          <w:rFonts w:hint="eastAsia" w:ascii="仿宋" w:hAnsi="仿宋" w:eastAsia="仿宋" w:cs="仿宋"/>
          <w:color w:val="auto"/>
          <w:spacing w:val="-2"/>
          <w:sz w:val="32"/>
          <w:szCs w:val="32"/>
          <w:highlight w:val="none"/>
        </w:rPr>
        <w:t>领导审定。</w:t>
      </w:r>
    </w:p>
    <w:p w14:paraId="092E0217">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5" w:firstLineChars="200"/>
        <w:jc w:val="left"/>
        <w:textAlignment w:val="baseline"/>
        <w:rPr>
          <w:rFonts w:hint="eastAsia" w:ascii="仿宋" w:hAnsi="仿宋" w:eastAsia="仿宋" w:cs="仿宋"/>
          <w:b/>
          <w:bCs/>
          <w:color w:val="auto"/>
          <w:spacing w:val="-2"/>
          <w:sz w:val="32"/>
          <w:szCs w:val="32"/>
          <w:highlight w:val="none"/>
        </w:rPr>
      </w:pPr>
      <w:r>
        <w:rPr>
          <w:rFonts w:hint="eastAsia" w:ascii="仿宋" w:hAnsi="仿宋" w:eastAsia="仿宋" w:cs="仿宋"/>
          <w:b/>
          <w:bCs/>
          <w:color w:val="auto"/>
          <w:spacing w:val="-2"/>
          <w:sz w:val="32"/>
          <w:szCs w:val="32"/>
          <w:highlight w:val="none"/>
        </w:rPr>
        <w:t>四、考核结果运用</w:t>
      </w:r>
    </w:p>
    <w:p w14:paraId="16B4A4C5">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rPr>
      </w:pPr>
      <w:r>
        <w:rPr>
          <w:rFonts w:hint="eastAsia" w:ascii="仿宋" w:hAnsi="仿宋" w:eastAsia="仿宋" w:cs="仿宋"/>
          <w:color w:val="auto"/>
          <w:spacing w:val="-2"/>
          <w:sz w:val="32"/>
          <w:szCs w:val="32"/>
          <w:highlight w:val="none"/>
        </w:rPr>
        <w:t>由于房屋租赁费每半年支付一次，且在每个服务期开始前支付租赁费，甲方应在服务期开始前组织人员对乙方进行考核，考核完成后，甲方应依据考核扣分情况从乙方租金中扣除</w:t>
      </w:r>
      <w:r>
        <w:rPr>
          <w:rFonts w:hint="eastAsia" w:ascii="仿宋" w:hAnsi="仿宋" w:eastAsia="仿宋" w:cs="仿宋"/>
          <w:color w:val="auto"/>
          <w:spacing w:val="-2"/>
          <w:sz w:val="32"/>
          <w:szCs w:val="32"/>
          <w:highlight w:val="none"/>
          <w:lang w:val="en-US" w:eastAsia="zh-CN"/>
        </w:rPr>
        <w:t>相应</w:t>
      </w:r>
      <w:r>
        <w:rPr>
          <w:rFonts w:hint="eastAsia" w:ascii="仿宋" w:hAnsi="仿宋" w:eastAsia="仿宋" w:cs="仿宋"/>
          <w:color w:val="auto"/>
          <w:spacing w:val="-2"/>
          <w:sz w:val="32"/>
          <w:szCs w:val="32"/>
          <w:highlight w:val="none"/>
        </w:rPr>
        <w:t>金额后（甲方扣除的为当前服务期所扣分数乘以1分所对应的房屋租赁费金额，每分对应金额为年度租赁费除以2再除以100)，支付乙方租赁费，</w:t>
      </w:r>
      <w:r>
        <w:rPr>
          <w:rFonts w:hint="eastAsia" w:ascii="仿宋" w:hAnsi="仿宋" w:eastAsia="仿宋" w:cs="仿宋"/>
          <w:color w:val="auto"/>
          <w:spacing w:val="-2"/>
          <w:sz w:val="32"/>
          <w:szCs w:val="32"/>
          <w:highlight w:val="none"/>
          <w:lang w:val="en-US" w:eastAsia="zh-CN"/>
        </w:rPr>
        <w:t>扣除考核金</w:t>
      </w:r>
      <w:r>
        <w:rPr>
          <w:rFonts w:hint="eastAsia" w:ascii="仿宋" w:hAnsi="仿宋" w:eastAsia="仿宋" w:cs="仿宋"/>
          <w:color w:val="auto"/>
          <w:spacing w:val="-2"/>
          <w:sz w:val="32"/>
          <w:szCs w:val="32"/>
          <w:highlight w:val="none"/>
        </w:rPr>
        <w:t>备存。同时，综合管理中心向乙方出具考核</w:t>
      </w:r>
      <w:r>
        <w:rPr>
          <w:rFonts w:hint="eastAsia" w:ascii="仿宋" w:hAnsi="仿宋" w:eastAsia="仿宋" w:cs="仿宋"/>
          <w:color w:val="auto"/>
          <w:spacing w:val="-2"/>
          <w:sz w:val="32"/>
          <w:szCs w:val="32"/>
          <w:highlight w:val="none"/>
          <w:lang w:val="en-US" w:eastAsia="zh-CN"/>
        </w:rPr>
        <w:t>考核金</w:t>
      </w:r>
      <w:r>
        <w:rPr>
          <w:rFonts w:hint="eastAsia" w:ascii="仿宋" w:hAnsi="仿宋" w:eastAsia="仿宋" w:cs="仿宋"/>
          <w:color w:val="auto"/>
          <w:spacing w:val="-2"/>
          <w:sz w:val="32"/>
          <w:szCs w:val="32"/>
          <w:highlight w:val="none"/>
        </w:rPr>
        <w:t>扣除收据。</w:t>
      </w:r>
    </w:p>
    <w:p w14:paraId="5BA2A34B">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32" w:firstLineChars="200"/>
        <w:jc w:val="left"/>
        <w:textAlignment w:val="baseline"/>
        <w:rPr>
          <w:rFonts w:hint="eastAsia" w:ascii="仿宋" w:hAnsi="仿宋" w:eastAsia="仿宋" w:cs="仿宋"/>
          <w:color w:val="auto"/>
          <w:spacing w:val="-2"/>
          <w:sz w:val="32"/>
          <w:szCs w:val="32"/>
          <w:highlight w:val="none"/>
          <w:lang w:eastAsia="zh-CN"/>
        </w:rPr>
      </w:pPr>
      <w:r>
        <w:rPr>
          <w:rFonts w:hint="eastAsia" w:ascii="仿宋" w:hAnsi="仿宋" w:eastAsia="仿宋" w:cs="仿宋"/>
          <w:color w:val="auto"/>
          <w:spacing w:val="-2"/>
          <w:sz w:val="32"/>
          <w:szCs w:val="32"/>
          <w:highlight w:val="none"/>
        </w:rPr>
        <w:t>此房屋租赁考核实施</w:t>
      </w:r>
      <w:r>
        <w:rPr>
          <w:rFonts w:hint="eastAsia" w:ascii="仿宋" w:hAnsi="仿宋" w:eastAsia="仿宋" w:cs="仿宋"/>
          <w:color w:val="auto"/>
          <w:spacing w:val="-2"/>
          <w:sz w:val="32"/>
          <w:szCs w:val="32"/>
          <w:highlight w:val="none"/>
          <w:lang w:val="en-US" w:eastAsia="zh-CN"/>
        </w:rPr>
        <w:t>办法</w:t>
      </w:r>
      <w:r>
        <w:rPr>
          <w:rFonts w:hint="eastAsia" w:ascii="仿宋" w:hAnsi="仿宋" w:eastAsia="仿宋" w:cs="仿宋"/>
          <w:color w:val="auto"/>
          <w:spacing w:val="-2"/>
          <w:sz w:val="32"/>
          <w:szCs w:val="32"/>
          <w:highlight w:val="none"/>
        </w:rPr>
        <w:t>最终解释权</w:t>
      </w:r>
      <w:r>
        <w:rPr>
          <w:rFonts w:hint="eastAsia" w:ascii="仿宋" w:hAnsi="仿宋" w:eastAsia="仿宋" w:cs="仿宋"/>
          <w:color w:val="auto"/>
          <w:spacing w:val="-2"/>
          <w:sz w:val="32"/>
          <w:szCs w:val="32"/>
          <w:highlight w:val="none"/>
          <w:lang w:val="en-US" w:eastAsia="zh-CN"/>
        </w:rPr>
        <w:t>归</w:t>
      </w:r>
      <w:r>
        <w:rPr>
          <w:rFonts w:hint="eastAsia" w:ascii="仿宋" w:hAnsi="仿宋" w:eastAsia="仿宋" w:cs="仿宋"/>
          <w:color w:val="auto"/>
          <w:spacing w:val="-2"/>
          <w:sz w:val="32"/>
          <w:szCs w:val="32"/>
          <w:highlight w:val="none"/>
        </w:rPr>
        <w:t>西安市集中办公区综合管理中心，西安市集中办公区综合管理中心有权根据实际工作需要适时对本《考核办法》及附属《考核评分表》进行修订完善</w:t>
      </w:r>
      <w:r>
        <w:rPr>
          <w:rFonts w:hint="eastAsia" w:ascii="仿宋" w:hAnsi="仿宋" w:eastAsia="仿宋" w:cs="仿宋"/>
          <w:color w:val="auto"/>
          <w:spacing w:val="-2"/>
          <w:sz w:val="32"/>
          <w:szCs w:val="32"/>
          <w:highlight w:val="none"/>
          <w:lang w:eastAsia="zh-CN"/>
        </w:rPr>
        <w:t>。</w:t>
      </w:r>
    </w:p>
    <w:p w14:paraId="1E3084CF">
      <w:pPr>
        <w:pStyle w:val="4"/>
        <w:keepNext w:val="0"/>
        <w:keepLines w:val="0"/>
        <w:pageBreakBefore w:val="0"/>
        <w:kinsoku w:val="0"/>
        <w:wordWrap/>
        <w:overflowPunct/>
        <w:bidi w:val="0"/>
        <w:spacing w:line="360" w:lineRule="auto"/>
        <w:ind w:left="0" w:right="0" w:firstLine="0" w:firstLineChars="0"/>
        <w:rPr>
          <w:rFonts w:hint="eastAsia" w:ascii="仿宋" w:hAnsi="仿宋" w:eastAsia="仿宋" w:cs="仿宋"/>
          <w:color w:val="auto"/>
          <w:sz w:val="24"/>
          <w:szCs w:val="24"/>
          <w:highlight w:val="none"/>
        </w:rPr>
      </w:pPr>
    </w:p>
    <w:p w14:paraId="2AD3B8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spacing w:val="-2"/>
          <w:w w:val="100"/>
          <w:sz w:val="24"/>
          <w:szCs w:val="24"/>
          <w:highlight w:val="none"/>
        </w:rPr>
      </w:pPr>
    </w:p>
    <w:p w14:paraId="367965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hint="eastAsia" w:ascii="仿宋" w:hAnsi="仿宋" w:eastAsia="仿宋" w:cs="仿宋"/>
          <w:b/>
          <w:bCs/>
          <w:color w:val="auto"/>
          <w:spacing w:val="-2"/>
          <w:w w:val="100"/>
          <w:sz w:val="24"/>
          <w:szCs w:val="24"/>
          <w:highlight w:val="none"/>
        </w:rPr>
      </w:pPr>
    </w:p>
    <w:p w14:paraId="7CF42CA5">
      <w:pPr>
        <w:pStyle w:val="2"/>
        <w:rPr>
          <w:rFonts w:hint="eastAsia" w:ascii="仿宋" w:hAnsi="仿宋" w:eastAsia="仿宋" w:cs="仿宋"/>
          <w:b/>
          <w:bCs/>
          <w:color w:val="auto"/>
          <w:spacing w:val="-2"/>
          <w:w w:val="100"/>
          <w:sz w:val="24"/>
          <w:szCs w:val="24"/>
          <w:highlight w:val="none"/>
        </w:rPr>
      </w:pPr>
    </w:p>
    <w:p w14:paraId="251AEE9F">
      <w:pPr>
        <w:pStyle w:val="2"/>
        <w:rPr>
          <w:rFonts w:hint="eastAsia" w:ascii="仿宋" w:hAnsi="仿宋" w:eastAsia="仿宋" w:cs="仿宋"/>
          <w:b/>
          <w:bCs/>
          <w:color w:val="auto"/>
          <w:spacing w:val="-2"/>
          <w:w w:val="100"/>
          <w:sz w:val="24"/>
          <w:szCs w:val="24"/>
          <w:highlight w:val="none"/>
        </w:rPr>
      </w:pPr>
    </w:p>
    <w:p w14:paraId="1C6C046A">
      <w:pPr>
        <w:pStyle w:val="2"/>
        <w:rPr>
          <w:rFonts w:hint="eastAsia" w:ascii="仿宋" w:hAnsi="仿宋" w:eastAsia="仿宋" w:cs="仿宋"/>
          <w:b/>
          <w:bCs/>
          <w:color w:val="auto"/>
          <w:spacing w:val="-2"/>
          <w:w w:val="100"/>
          <w:sz w:val="24"/>
          <w:szCs w:val="24"/>
          <w:highlight w:val="none"/>
        </w:rPr>
      </w:pPr>
    </w:p>
    <w:p w14:paraId="5DD324AA">
      <w:pPr>
        <w:pStyle w:val="2"/>
        <w:rPr>
          <w:rFonts w:hint="eastAsia" w:ascii="仿宋" w:hAnsi="仿宋" w:eastAsia="仿宋" w:cs="仿宋"/>
          <w:b/>
          <w:bCs/>
          <w:color w:val="auto"/>
          <w:spacing w:val="-2"/>
          <w:w w:val="100"/>
          <w:sz w:val="24"/>
          <w:szCs w:val="24"/>
          <w:highlight w:val="none"/>
        </w:rPr>
      </w:pPr>
    </w:p>
    <w:p w14:paraId="3A54B614">
      <w:pPr>
        <w:pStyle w:val="2"/>
        <w:rPr>
          <w:rFonts w:hint="eastAsia" w:ascii="仿宋" w:hAnsi="仿宋" w:eastAsia="仿宋" w:cs="仿宋"/>
          <w:b/>
          <w:bCs/>
          <w:color w:val="auto"/>
          <w:spacing w:val="-2"/>
          <w:w w:val="100"/>
          <w:sz w:val="24"/>
          <w:szCs w:val="24"/>
          <w:highlight w:val="none"/>
        </w:rPr>
      </w:pPr>
    </w:p>
    <w:p w14:paraId="1A31651B">
      <w:pPr>
        <w:pStyle w:val="2"/>
        <w:rPr>
          <w:rFonts w:hint="eastAsia" w:ascii="仿宋" w:hAnsi="仿宋" w:eastAsia="仿宋" w:cs="仿宋"/>
          <w:b/>
          <w:bCs/>
          <w:color w:val="auto"/>
          <w:spacing w:val="-2"/>
          <w:w w:val="100"/>
          <w:sz w:val="24"/>
          <w:szCs w:val="24"/>
          <w:highlight w:val="none"/>
        </w:rPr>
      </w:pPr>
    </w:p>
    <w:p w14:paraId="3E56FEFE">
      <w:pPr>
        <w:pStyle w:val="2"/>
        <w:rPr>
          <w:rFonts w:hint="eastAsia" w:ascii="仿宋" w:hAnsi="仿宋" w:eastAsia="仿宋" w:cs="仿宋"/>
          <w:b/>
          <w:bCs/>
          <w:color w:val="auto"/>
          <w:spacing w:val="-2"/>
          <w:w w:val="100"/>
          <w:sz w:val="24"/>
          <w:szCs w:val="24"/>
          <w:highlight w:val="none"/>
        </w:rPr>
      </w:pPr>
    </w:p>
    <w:p w14:paraId="6A7E1890">
      <w:pPr>
        <w:pStyle w:val="2"/>
        <w:rPr>
          <w:rFonts w:hint="eastAsia" w:ascii="仿宋" w:hAnsi="仿宋" w:eastAsia="仿宋" w:cs="仿宋"/>
          <w:b/>
          <w:bCs/>
          <w:color w:val="auto"/>
          <w:spacing w:val="-2"/>
          <w:w w:val="100"/>
          <w:sz w:val="24"/>
          <w:szCs w:val="24"/>
          <w:highlight w:val="none"/>
        </w:rPr>
      </w:pPr>
    </w:p>
    <w:p w14:paraId="69405A68">
      <w:pPr>
        <w:pStyle w:val="2"/>
        <w:rPr>
          <w:rFonts w:hint="eastAsia" w:ascii="仿宋" w:hAnsi="仿宋" w:eastAsia="仿宋" w:cs="仿宋"/>
          <w:b/>
          <w:bCs/>
          <w:color w:val="auto"/>
          <w:spacing w:val="-2"/>
          <w:w w:val="100"/>
          <w:sz w:val="24"/>
          <w:szCs w:val="24"/>
          <w:highlight w:val="none"/>
        </w:rPr>
      </w:pPr>
    </w:p>
    <w:p w14:paraId="68740A19">
      <w:pPr>
        <w:pStyle w:val="2"/>
        <w:rPr>
          <w:rFonts w:hint="eastAsia" w:ascii="仿宋" w:hAnsi="仿宋" w:eastAsia="仿宋" w:cs="仿宋"/>
          <w:b/>
          <w:bCs/>
          <w:color w:val="auto"/>
          <w:spacing w:val="-2"/>
          <w:w w:val="100"/>
          <w:sz w:val="24"/>
          <w:szCs w:val="24"/>
          <w:highlight w:val="none"/>
        </w:rPr>
      </w:pPr>
    </w:p>
    <w:p w14:paraId="35A4F092">
      <w:pPr>
        <w:pStyle w:val="2"/>
        <w:rPr>
          <w:rFonts w:hint="eastAsia" w:ascii="仿宋" w:hAnsi="仿宋" w:eastAsia="仿宋" w:cs="仿宋"/>
          <w:b/>
          <w:bCs/>
          <w:color w:val="auto"/>
          <w:spacing w:val="-2"/>
          <w:w w:val="100"/>
          <w:sz w:val="24"/>
          <w:szCs w:val="24"/>
          <w:highlight w:val="none"/>
        </w:rPr>
      </w:pPr>
    </w:p>
    <w:p w14:paraId="67BC1AEF">
      <w:pPr>
        <w:pStyle w:val="2"/>
        <w:rPr>
          <w:rFonts w:hint="eastAsia" w:ascii="仿宋" w:hAnsi="仿宋" w:eastAsia="仿宋" w:cs="仿宋"/>
          <w:b/>
          <w:bCs/>
          <w:color w:val="auto"/>
          <w:spacing w:val="-2"/>
          <w:w w:val="100"/>
          <w:sz w:val="24"/>
          <w:szCs w:val="24"/>
          <w:highlight w:val="none"/>
        </w:rPr>
      </w:pPr>
    </w:p>
    <w:p w14:paraId="20028F04">
      <w:pPr>
        <w:pStyle w:val="2"/>
        <w:rPr>
          <w:rFonts w:hint="eastAsia" w:ascii="仿宋" w:hAnsi="仿宋" w:eastAsia="仿宋" w:cs="仿宋"/>
          <w:b/>
          <w:bCs/>
          <w:color w:val="auto"/>
          <w:spacing w:val="-2"/>
          <w:w w:val="100"/>
          <w:sz w:val="24"/>
          <w:szCs w:val="24"/>
          <w:highlight w:val="none"/>
        </w:rPr>
      </w:pPr>
    </w:p>
    <w:p w14:paraId="16B1856D">
      <w:pPr>
        <w:rPr>
          <w:rFonts w:hint="eastAsia" w:ascii="方正小标宋简体" w:hAnsi="方正小标宋简体" w:eastAsia="方正小标宋简体" w:cs="方正小标宋简体"/>
          <w:b w:val="0"/>
          <w:bCs w:val="0"/>
          <w:color w:val="auto"/>
          <w:spacing w:val="-2"/>
          <w:w w:val="100"/>
          <w:sz w:val="32"/>
          <w:szCs w:val="32"/>
          <w:highlight w:val="none"/>
        </w:rPr>
      </w:pPr>
      <w:r>
        <w:rPr>
          <w:rFonts w:hint="eastAsia" w:ascii="方正小标宋简体" w:hAnsi="方正小标宋简体" w:eastAsia="方正小标宋简体" w:cs="方正小标宋简体"/>
          <w:b w:val="0"/>
          <w:bCs w:val="0"/>
          <w:color w:val="auto"/>
          <w:spacing w:val="-2"/>
          <w:w w:val="100"/>
          <w:sz w:val="32"/>
          <w:szCs w:val="32"/>
          <w:highlight w:val="none"/>
        </w:rPr>
        <w:br w:type="page"/>
      </w:r>
    </w:p>
    <w:p w14:paraId="09F55C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方正小标宋简体" w:hAnsi="方正小标宋简体" w:eastAsia="方正小标宋简体" w:cs="方正小标宋简体"/>
          <w:b w:val="0"/>
          <w:bCs w:val="0"/>
          <w:color w:val="auto"/>
          <w:w w:val="100"/>
          <w:sz w:val="32"/>
          <w:szCs w:val="32"/>
          <w:highlight w:val="none"/>
        </w:rPr>
      </w:pPr>
      <w:r>
        <w:rPr>
          <w:rFonts w:hint="eastAsia" w:ascii="方正小标宋简体" w:hAnsi="方正小标宋简体" w:eastAsia="方正小标宋简体" w:cs="方正小标宋简体"/>
          <w:b w:val="0"/>
          <w:bCs w:val="0"/>
          <w:color w:val="auto"/>
          <w:spacing w:val="-2"/>
          <w:w w:val="100"/>
          <w:sz w:val="32"/>
          <w:szCs w:val="32"/>
          <w:highlight w:val="none"/>
        </w:rPr>
        <w:t>西安市集中办公区综合管理中心</w:t>
      </w:r>
    </w:p>
    <w:p w14:paraId="602F44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仿宋" w:hAnsi="仿宋" w:eastAsia="仿宋" w:cs="仿宋"/>
          <w:b/>
          <w:bCs/>
          <w:color w:val="auto"/>
          <w:w w:val="100"/>
          <w:sz w:val="24"/>
          <w:szCs w:val="24"/>
          <w:highlight w:val="none"/>
        </w:rPr>
      </w:pPr>
      <w:r>
        <w:rPr>
          <w:rFonts w:hint="eastAsia" w:ascii="仿宋" w:hAnsi="仿宋" w:eastAsia="仿宋" w:cs="仿宋"/>
          <w:b/>
          <w:bCs/>
          <w:color w:val="auto"/>
          <w:spacing w:val="-2"/>
          <w:w w:val="100"/>
          <w:sz w:val="24"/>
          <w:szCs w:val="24"/>
          <w:highlight w:val="none"/>
        </w:rPr>
        <w:t>20</w:t>
      </w:r>
      <w:r>
        <w:rPr>
          <w:rFonts w:hint="eastAsia" w:ascii="仿宋" w:hAnsi="仿宋" w:eastAsia="仿宋" w:cs="仿宋"/>
          <w:b/>
          <w:bCs/>
          <w:color w:val="auto"/>
          <w:spacing w:val="-2"/>
          <w:w w:val="100"/>
          <w:sz w:val="24"/>
          <w:szCs w:val="24"/>
          <w:highlight w:val="none"/>
          <w:lang w:val="en-US" w:eastAsia="zh-CN"/>
        </w:rPr>
        <w:t>26</w:t>
      </w:r>
      <w:r>
        <w:rPr>
          <w:rFonts w:hint="eastAsia" w:ascii="仿宋" w:hAnsi="仿宋" w:eastAsia="仿宋" w:cs="仿宋"/>
          <w:b/>
          <w:bCs/>
          <w:color w:val="auto"/>
          <w:spacing w:val="-2"/>
          <w:w w:val="100"/>
          <w:sz w:val="24"/>
          <w:szCs w:val="24"/>
          <w:highlight w:val="none"/>
        </w:rPr>
        <w:t>年</w:t>
      </w:r>
      <w:r>
        <w:rPr>
          <w:rFonts w:hint="eastAsia" w:ascii="仿宋" w:hAnsi="仿宋" w:eastAsia="仿宋" w:cs="仿宋"/>
          <w:b/>
          <w:bCs/>
          <w:color w:val="auto"/>
          <w:spacing w:val="-2"/>
          <w:w w:val="100"/>
          <w:sz w:val="24"/>
          <w:szCs w:val="24"/>
          <w:highlight w:val="none"/>
          <w:lang w:val="en-US" w:eastAsia="zh-CN"/>
        </w:rPr>
        <w:t xml:space="preserve"> </w:t>
      </w:r>
      <w:r>
        <w:rPr>
          <w:rFonts w:hint="eastAsia" w:ascii="仿宋" w:hAnsi="仿宋" w:eastAsia="仿宋" w:cs="仿宋"/>
          <w:b/>
          <w:bCs/>
          <w:color w:val="auto"/>
          <w:spacing w:val="-2"/>
          <w:w w:val="100"/>
          <w:sz w:val="24"/>
          <w:szCs w:val="24"/>
          <w:highlight w:val="none"/>
          <w:u w:val="single" w:color="auto"/>
        </w:rPr>
        <w:t xml:space="preserve">  </w:t>
      </w:r>
      <w:r>
        <w:rPr>
          <w:rFonts w:hint="eastAsia" w:ascii="仿宋" w:hAnsi="仿宋" w:eastAsia="仿宋" w:cs="仿宋"/>
          <w:b/>
          <w:bCs/>
          <w:color w:val="auto"/>
          <w:spacing w:val="-2"/>
          <w:w w:val="100"/>
          <w:sz w:val="24"/>
          <w:szCs w:val="24"/>
          <w:highlight w:val="none"/>
          <w:u w:val="single" w:color="auto"/>
          <w:lang w:val="en-US" w:eastAsia="zh-CN"/>
        </w:rPr>
        <w:t xml:space="preserve">      </w:t>
      </w:r>
      <w:r>
        <w:rPr>
          <w:rFonts w:hint="eastAsia" w:ascii="仿宋" w:hAnsi="仿宋" w:eastAsia="仿宋" w:cs="仿宋"/>
          <w:b/>
          <w:bCs/>
          <w:color w:val="auto"/>
          <w:spacing w:val="-2"/>
          <w:w w:val="100"/>
          <w:sz w:val="24"/>
          <w:szCs w:val="24"/>
          <w:highlight w:val="none"/>
          <w:u w:val="single" w:color="auto"/>
        </w:rPr>
        <w:t xml:space="preserve">  </w:t>
      </w:r>
      <w:r>
        <w:rPr>
          <w:rFonts w:hint="eastAsia" w:ascii="仿宋" w:hAnsi="仿宋" w:eastAsia="仿宋" w:cs="仿宋"/>
          <w:b/>
          <w:bCs/>
          <w:color w:val="auto"/>
          <w:spacing w:val="-105"/>
          <w:w w:val="100"/>
          <w:sz w:val="24"/>
          <w:szCs w:val="24"/>
          <w:highlight w:val="none"/>
        </w:rPr>
        <w:t xml:space="preserve"> </w:t>
      </w:r>
      <w:r>
        <w:rPr>
          <w:rFonts w:hint="eastAsia" w:ascii="仿宋" w:hAnsi="仿宋" w:eastAsia="仿宋" w:cs="仿宋"/>
          <w:b/>
          <w:bCs/>
          <w:color w:val="auto"/>
          <w:spacing w:val="-2"/>
          <w:w w:val="100"/>
          <w:sz w:val="24"/>
          <w:szCs w:val="24"/>
          <w:highlight w:val="none"/>
        </w:rPr>
        <w:t>月</w:t>
      </w:r>
      <w:r>
        <w:rPr>
          <w:rFonts w:hint="eastAsia" w:ascii="仿宋" w:hAnsi="仿宋" w:eastAsia="仿宋" w:cs="仿宋"/>
          <w:b/>
          <w:bCs/>
          <w:color w:val="auto"/>
          <w:spacing w:val="-2"/>
          <w:w w:val="100"/>
          <w:sz w:val="24"/>
          <w:szCs w:val="24"/>
          <w:highlight w:val="none"/>
          <w:u w:val="single"/>
          <w:lang w:val="en-US" w:eastAsia="zh-CN"/>
        </w:rPr>
        <w:t xml:space="preserve">             </w:t>
      </w:r>
      <w:r>
        <w:rPr>
          <w:rFonts w:hint="eastAsia" w:ascii="仿宋" w:hAnsi="仿宋" w:eastAsia="仿宋" w:cs="仿宋"/>
          <w:b/>
          <w:bCs/>
          <w:color w:val="auto"/>
          <w:spacing w:val="-110"/>
          <w:w w:val="100"/>
          <w:sz w:val="24"/>
          <w:szCs w:val="24"/>
          <w:highlight w:val="none"/>
        </w:rPr>
        <w:t xml:space="preserve"> </w:t>
      </w:r>
      <w:r>
        <w:rPr>
          <w:rFonts w:hint="eastAsia" w:ascii="仿宋" w:hAnsi="仿宋" w:eastAsia="仿宋" w:cs="仿宋"/>
          <w:b/>
          <w:bCs/>
          <w:color w:val="auto"/>
          <w:spacing w:val="-2"/>
          <w:w w:val="100"/>
          <w:sz w:val="24"/>
          <w:szCs w:val="24"/>
          <w:highlight w:val="none"/>
        </w:rPr>
        <w:t>房屋租赁考核评分表</w:t>
      </w:r>
    </w:p>
    <w:p w14:paraId="2CE1EA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z w:val="24"/>
          <w:szCs w:val="24"/>
          <w:highlight w:val="none"/>
        </w:rPr>
        <w:t>考核负责人：</w:t>
      </w:r>
      <w:r>
        <w:rPr>
          <w:rFonts w:hint="eastAsia" w:ascii="仿宋" w:hAnsi="仿宋" w:eastAsia="仿宋" w:cs="仿宋"/>
          <w:b/>
          <w:bCs/>
          <w:color w:val="auto"/>
          <w:sz w:val="24"/>
          <w:szCs w:val="24"/>
          <w:highlight w:val="none"/>
          <w:u w:val="single" w:color="auto"/>
        </w:rPr>
        <w:t xml:space="preserve">               </w:t>
      </w:r>
      <w:r>
        <w:rPr>
          <w:rFonts w:hint="eastAsia" w:ascii="仿宋" w:hAnsi="仿宋" w:eastAsia="仿宋" w:cs="仿宋"/>
          <w:b/>
          <w:bCs/>
          <w:color w:val="auto"/>
          <w:spacing w:val="-1"/>
          <w:sz w:val="24"/>
          <w:szCs w:val="24"/>
          <w:highlight w:val="none"/>
        </w:rPr>
        <w:t xml:space="preserve">    </w:t>
      </w:r>
      <w:r>
        <w:rPr>
          <w:rFonts w:hint="eastAsia" w:ascii="仿宋" w:hAnsi="仿宋" w:eastAsia="仿宋" w:cs="仿宋"/>
          <w:b/>
          <w:bCs/>
          <w:color w:val="auto"/>
          <w:spacing w:val="-1"/>
          <w:sz w:val="24"/>
          <w:szCs w:val="24"/>
          <w:highlight w:val="none"/>
          <w:lang w:val="en-US" w:eastAsia="zh-CN"/>
        </w:rPr>
        <w:t xml:space="preserve">   </w:t>
      </w:r>
      <w:r>
        <w:rPr>
          <w:rFonts w:hint="eastAsia" w:ascii="仿宋" w:hAnsi="仿宋" w:eastAsia="仿宋" w:cs="仿宋"/>
          <w:b/>
          <w:bCs/>
          <w:color w:val="auto"/>
          <w:spacing w:val="-1"/>
          <w:sz w:val="24"/>
          <w:szCs w:val="24"/>
          <w:highlight w:val="none"/>
        </w:rPr>
        <w:t>项目经理：</w:t>
      </w:r>
      <w:r>
        <w:rPr>
          <w:rFonts w:hint="eastAsia" w:ascii="仿宋" w:hAnsi="仿宋" w:eastAsia="仿宋" w:cs="仿宋"/>
          <w:b/>
          <w:bCs/>
          <w:color w:val="auto"/>
          <w:spacing w:val="-1"/>
          <w:sz w:val="24"/>
          <w:szCs w:val="24"/>
          <w:highlight w:val="none"/>
          <w:u w:val="single" w:color="auto"/>
        </w:rPr>
        <w:t xml:space="preserve">                 </w:t>
      </w:r>
    </w:p>
    <w:p w14:paraId="6EBE8B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1"/>
          <w:sz w:val="24"/>
          <w:szCs w:val="24"/>
          <w:highlight w:val="none"/>
        </w:rPr>
        <w:t>办公区负责人：</w:t>
      </w:r>
      <w:r>
        <w:rPr>
          <w:rFonts w:hint="eastAsia" w:ascii="仿宋" w:hAnsi="仿宋" w:eastAsia="仿宋" w:cs="仿宋"/>
          <w:b/>
          <w:bCs/>
          <w:color w:val="auto"/>
          <w:sz w:val="24"/>
          <w:szCs w:val="24"/>
          <w:highlight w:val="none"/>
          <w:u w:val="single" w:color="auto"/>
        </w:rPr>
        <w:t xml:space="preserve">             </w:t>
      </w:r>
      <w:r>
        <w:rPr>
          <w:rFonts w:hint="eastAsia" w:ascii="仿宋" w:hAnsi="仿宋" w:eastAsia="仿宋" w:cs="仿宋"/>
          <w:b/>
          <w:bCs/>
          <w:color w:val="auto"/>
          <w:spacing w:val="-1"/>
          <w:sz w:val="24"/>
          <w:szCs w:val="24"/>
          <w:highlight w:val="none"/>
        </w:rPr>
        <w:t xml:space="preserve">    </w:t>
      </w:r>
      <w:r>
        <w:rPr>
          <w:rFonts w:hint="eastAsia" w:ascii="仿宋" w:hAnsi="仿宋" w:eastAsia="仿宋" w:cs="仿宋"/>
          <w:b/>
          <w:bCs/>
          <w:color w:val="auto"/>
          <w:spacing w:val="-1"/>
          <w:sz w:val="24"/>
          <w:szCs w:val="24"/>
          <w:highlight w:val="none"/>
          <w:lang w:val="en-US" w:eastAsia="zh-CN"/>
        </w:rPr>
        <w:t xml:space="preserve">   </w:t>
      </w:r>
      <w:r>
        <w:rPr>
          <w:rFonts w:hint="eastAsia" w:ascii="仿宋" w:hAnsi="仿宋" w:eastAsia="仿宋" w:cs="仿宋"/>
          <w:b/>
          <w:bCs/>
          <w:color w:val="auto"/>
          <w:spacing w:val="-1"/>
          <w:sz w:val="24"/>
          <w:szCs w:val="24"/>
          <w:highlight w:val="none"/>
        </w:rPr>
        <w:t>考核评分：</w:t>
      </w:r>
      <w:r>
        <w:rPr>
          <w:rFonts w:hint="eastAsia" w:ascii="仿宋" w:hAnsi="仿宋" w:eastAsia="仿宋" w:cs="仿宋"/>
          <w:b/>
          <w:bCs/>
          <w:color w:val="auto"/>
          <w:spacing w:val="1"/>
          <w:sz w:val="24"/>
          <w:szCs w:val="24"/>
          <w:highlight w:val="none"/>
          <w:u w:val="single" w:color="auto"/>
        </w:rPr>
        <w:t xml:space="preserve">   </w:t>
      </w:r>
      <w:r>
        <w:rPr>
          <w:rFonts w:hint="eastAsia" w:ascii="仿宋" w:hAnsi="仿宋" w:eastAsia="仿宋" w:cs="仿宋"/>
          <w:b/>
          <w:bCs/>
          <w:color w:val="auto"/>
          <w:spacing w:val="1"/>
          <w:sz w:val="24"/>
          <w:szCs w:val="24"/>
          <w:highlight w:val="none"/>
          <w:u w:val="single" w:color="auto"/>
          <w:lang w:val="en-US" w:eastAsia="zh-CN"/>
        </w:rPr>
        <w:t xml:space="preserve">    </w:t>
      </w:r>
      <w:r>
        <w:rPr>
          <w:rFonts w:hint="eastAsia" w:ascii="仿宋" w:hAnsi="仿宋" w:eastAsia="仿宋" w:cs="仿宋"/>
          <w:b/>
          <w:bCs/>
          <w:color w:val="auto"/>
          <w:spacing w:val="1"/>
          <w:sz w:val="24"/>
          <w:szCs w:val="24"/>
          <w:highlight w:val="none"/>
          <w:u w:val="single" w:color="auto"/>
        </w:rPr>
        <w:t xml:space="preserve">          </w:t>
      </w:r>
    </w:p>
    <w:tbl>
      <w:tblPr>
        <w:tblStyle w:val="11"/>
        <w:tblpPr w:leftFromText="180" w:rightFromText="180" w:vertAnchor="text" w:horzAnchor="page" w:tblpXSpec="center" w:tblpY="94"/>
        <w:tblOverlap w:val="never"/>
        <w:tblW w:w="504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20"/>
        <w:gridCol w:w="745"/>
        <w:gridCol w:w="1151"/>
        <w:gridCol w:w="2372"/>
        <w:gridCol w:w="809"/>
        <w:gridCol w:w="1558"/>
        <w:gridCol w:w="1135"/>
      </w:tblGrid>
      <w:tr w14:paraId="6DF96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jc w:val="center"/>
        </w:trPr>
        <w:tc>
          <w:tcPr>
            <w:tcW w:w="370" w:type="pct"/>
            <w:noWrap w:val="0"/>
            <w:vAlign w:val="center"/>
          </w:tcPr>
          <w:p w14:paraId="543795B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5"/>
                <w:sz w:val="22"/>
                <w:szCs w:val="22"/>
                <w:highlight w:val="none"/>
              </w:rPr>
              <w:t>序号</w:t>
            </w:r>
          </w:p>
        </w:tc>
        <w:tc>
          <w:tcPr>
            <w:tcW w:w="1130" w:type="pct"/>
            <w:gridSpan w:val="2"/>
            <w:noWrap w:val="0"/>
            <w:vAlign w:val="center"/>
          </w:tcPr>
          <w:p w14:paraId="630CA1F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7"/>
                <w:sz w:val="22"/>
                <w:szCs w:val="22"/>
                <w:highlight w:val="none"/>
              </w:rPr>
              <w:t>项目</w:t>
            </w:r>
          </w:p>
        </w:tc>
        <w:tc>
          <w:tcPr>
            <w:tcW w:w="1413" w:type="pct"/>
            <w:noWrap w:val="0"/>
            <w:vAlign w:val="center"/>
          </w:tcPr>
          <w:p w14:paraId="7299EE6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3"/>
                <w:sz w:val="22"/>
                <w:szCs w:val="22"/>
                <w:highlight w:val="none"/>
              </w:rPr>
              <w:t>考核内容</w:t>
            </w:r>
          </w:p>
        </w:tc>
        <w:tc>
          <w:tcPr>
            <w:tcW w:w="482" w:type="pct"/>
            <w:noWrap w:val="0"/>
            <w:vAlign w:val="center"/>
          </w:tcPr>
          <w:p w14:paraId="1FAEBA9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7"/>
                <w:sz w:val="22"/>
                <w:szCs w:val="22"/>
                <w:highlight w:val="none"/>
              </w:rPr>
              <w:t>分值</w:t>
            </w:r>
          </w:p>
        </w:tc>
        <w:tc>
          <w:tcPr>
            <w:tcW w:w="928" w:type="pct"/>
            <w:noWrap w:val="0"/>
            <w:vAlign w:val="center"/>
          </w:tcPr>
          <w:p w14:paraId="1FAD6B0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3"/>
                <w:sz w:val="22"/>
                <w:szCs w:val="22"/>
                <w:highlight w:val="none"/>
              </w:rPr>
              <w:t>考核方式</w:t>
            </w:r>
          </w:p>
        </w:tc>
        <w:tc>
          <w:tcPr>
            <w:tcW w:w="675" w:type="pct"/>
            <w:noWrap w:val="0"/>
            <w:vAlign w:val="center"/>
          </w:tcPr>
          <w:p w14:paraId="31581AB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pacing w:val="-3"/>
                <w:sz w:val="22"/>
                <w:szCs w:val="22"/>
                <w:highlight w:val="none"/>
              </w:rPr>
            </w:pPr>
            <w:r>
              <w:rPr>
                <w:rFonts w:hint="eastAsia" w:ascii="黑体" w:hAnsi="黑体" w:eastAsia="黑体" w:cs="黑体"/>
                <w:color w:val="auto"/>
                <w:spacing w:val="-3"/>
                <w:sz w:val="22"/>
                <w:szCs w:val="22"/>
                <w:highlight w:val="none"/>
              </w:rPr>
              <w:t>考核</w:t>
            </w:r>
          </w:p>
          <w:p w14:paraId="1FC1B78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黑体" w:hAnsi="黑体" w:eastAsia="黑体" w:cs="黑体"/>
                <w:color w:val="auto"/>
                <w:sz w:val="22"/>
                <w:szCs w:val="22"/>
                <w:highlight w:val="none"/>
              </w:rPr>
            </w:pPr>
            <w:r>
              <w:rPr>
                <w:rFonts w:hint="eastAsia" w:ascii="黑体" w:hAnsi="黑体" w:eastAsia="黑体" w:cs="黑体"/>
                <w:color w:val="auto"/>
                <w:spacing w:val="-3"/>
                <w:sz w:val="22"/>
                <w:szCs w:val="22"/>
                <w:highlight w:val="none"/>
              </w:rPr>
              <w:t>标准</w:t>
            </w:r>
          </w:p>
        </w:tc>
      </w:tr>
      <w:tr w14:paraId="1A4D5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70" w:type="pct"/>
            <w:vMerge w:val="restart"/>
            <w:tcBorders>
              <w:bottom w:val="nil"/>
            </w:tcBorders>
            <w:noWrap w:val="0"/>
            <w:vAlign w:val="center"/>
          </w:tcPr>
          <w:p w14:paraId="3D3FCD5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p w14:paraId="0C67B0F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444" w:type="pct"/>
            <w:vMerge w:val="restart"/>
            <w:tcBorders>
              <w:bottom w:val="nil"/>
            </w:tcBorders>
            <w:noWrap w:val="0"/>
            <w:vAlign w:val="center"/>
          </w:tcPr>
          <w:p w14:paraId="5ECDC01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房屋主体结构</w:t>
            </w:r>
          </w:p>
        </w:tc>
        <w:tc>
          <w:tcPr>
            <w:tcW w:w="686" w:type="pct"/>
            <w:noWrap w:val="0"/>
            <w:vAlign w:val="center"/>
          </w:tcPr>
          <w:p w14:paraId="49A7011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地面基础</w:t>
            </w:r>
          </w:p>
        </w:tc>
        <w:tc>
          <w:tcPr>
            <w:tcW w:w="1413" w:type="pct"/>
            <w:noWrap w:val="0"/>
            <w:vAlign w:val="center"/>
          </w:tcPr>
          <w:p w14:paraId="493633C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公区、户内地面无损坏</w:t>
            </w:r>
          </w:p>
        </w:tc>
        <w:tc>
          <w:tcPr>
            <w:tcW w:w="482" w:type="pct"/>
            <w:noWrap w:val="0"/>
            <w:vAlign w:val="center"/>
          </w:tcPr>
          <w:p w14:paraId="25626EE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928" w:type="pct"/>
            <w:vMerge w:val="restart"/>
            <w:tcBorders>
              <w:bottom w:val="nil"/>
            </w:tcBorders>
            <w:noWrap w:val="0"/>
            <w:vAlign w:val="center"/>
          </w:tcPr>
          <w:p w14:paraId="718B338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41DDD89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265C5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70" w:type="pct"/>
            <w:vMerge w:val="continue"/>
            <w:tcBorders>
              <w:top w:val="nil"/>
              <w:bottom w:val="nil"/>
            </w:tcBorders>
            <w:noWrap w:val="0"/>
            <w:vAlign w:val="center"/>
          </w:tcPr>
          <w:p w14:paraId="378A74C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08679A2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noWrap w:val="0"/>
            <w:vAlign w:val="center"/>
          </w:tcPr>
          <w:p w14:paraId="25BAF05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屋面防水</w:t>
            </w:r>
          </w:p>
        </w:tc>
        <w:tc>
          <w:tcPr>
            <w:tcW w:w="1413" w:type="pct"/>
            <w:noWrap w:val="0"/>
            <w:vAlign w:val="center"/>
          </w:tcPr>
          <w:p w14:paraId="6F80C33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房屋无漏水情况</w:t>
            </w:r>
          </w:p>
        </w:tc>
        <w:tc>
          <w:tcPr>
            <w:tcW w:w="482" w:type="pct"/>
            <w:noWrap w:val="0"/>
            <w:vAlign w:val="center"/>
          </w:tcPr>
          <w:p w14:paraId="365D1F3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928" w:type="pct"/>
            <w:vMerge w:val="continue"/>
            <w:tcBorders>
              <w:top w:val="nil"/>
              <w:bottom w:val="nil"/>
            </w:tcBorders>
            <w:noWrap w:val="0"/>
            <w:vAlign w:val="center"/>
          </w:tcPr>
          <w:p w14:paraId="128A0B8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259E869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4D5B3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70" w:type="pct"/>
            <w:vMerge w:val="continue"/>
            <w:tcBorders>
              <w:top w:val="nil"/>
            </w:tcBorders>
            <w:noWrap w:val="0"/>
            <w:vAlign w:val="center"/>
          </w:tcPr>
          <w:p w14:paraId="7356C9A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tcBorders>
            <w:noWrap w:val="0"/>
            <w:vAlign w:val="center"/>
          </w:tcPr>
          <w:p w14:paraId="3EDE9BA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noWrap w:val="0"/>
            <w:vAlign w:val="center"/>
          </w:tcPr>
          <w:p w14:paraId="7BE9B76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墙柱梁</w:t>
            </w:r>
          </w:p>
        </w:tc>
        <w:tc>
          <w:tcPr>
            <w:tcW w:w="1413" w:type="pct"/>
            <w:noWrap w:val="0"/>
            <w:vAlign w:val="center"/>
          </w:tcPr>
          <w:p w14:paraId="06D5A95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1"/>
                <w:sz w:val="21"/>
                <w:szCs w:val="21"/>
                <w:highlight w:val="none"/>
              </w:rPr>
              <w:t>房屋墙面、梁柱无损坏</w:t>
            </w:r>
          </w:p>
        </w:tc>
        <w:tc>
          <w:tcPr>
            <w:tcW w:w="482" w:type="pct"/>
            <w:noWrap w:val="0"/>
            <w:vAlign w:val="center"/>
          </w:tcPr>
          <w:p w14:paraId="48C418C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928" w:type="pct"/>
            <w:vMerge w:val="continue"/>
            <w:tcBorders>
              <w:top w:val="nil"/>
            </w:tcBorders>
            <w:noWrap w:val="0"/>
            <w:vAlign w:val="center"/>
          </w:tcPr>
          <w:p w14:paraId="240AFC9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24A13A2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4F90DA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70" w:type="pct"/>
            <w:vMerge w:val="restart"/>
            <w:tcBorders>
              <w:bottom w:val="nil"/>
            </w:tcBorders>
            <w:noWrap w:val="0"/>
            <w:vAlign w:val="center"/>
          </w:tcPr>
          <w:p w14:paraId="0A40B12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444" w:type="pct"/>
            <w:vMerge w:val="restart"/>
            <w:tcBorders>
              <w:bottom w:val="nil"/>
            </w:tcBorders>
            <w:noWrap w:val="0"/>
            <w:vAlign w:val="center"/>
          </w:tcPr>
          <w:p w14:paraId="5D177E9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设施设 备管理</w:t>
            </w:r>
          </w:p>
        </w:tc>
        <w:tc>
          <w:tcPr>
            <w:tcW w:w="686" w:type="pct"/>
            <w:vMerge w:val="restart"/>
            <w:tcBorders>
              <w:bottom w:val="nil"/>
            </w:tcBorders>
            <w:noWrap w:val="0"/>
            <w:vAlign w:val="center"/>
          </w:tcPr>
          <w:p w14:paraId="37CDD33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给排水</w:t>
            </w:r>
          </w:p>
          <w:p w14:paraId="76F4699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管路</w:t>
            </w:r>
          </w:p>
        </w:tc>
        <w:tc>
          <w:tcPr>
            <w:tcW w:w="1413" w:type="pct"/>
            <w:noWrap w:val="0"/>
            <w:vAlign w:val="center"/>
          </w:tcPr>
          <w:p w14:paraId="17D6105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给排水管路配备齐全</w:t>
            </w:r>
          </w:p>
        </w:tc>
        <w:tc>
          <w:tcPr>
            <w:tcW w:w="482" w:type="pct"/>
            <w:noWrap w:val="0"/>
            <w:vAlign w:val="center"/>
          </w:tcPr>
          <w:p w14:paraId="2C2C796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928" w:type="pct"/>
            <w:noWrap w:val="0"/>
            <w:vAlign w:val="center"/>
          </w:tcPr>
          <w:p w14:paraId="5279DDE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0966AF2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5180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370" w:type="pct"/>
            <w:vMerge w:val="continue"/>
            <w:tcBorders>
              <w:top w:val="nil"/>
              <w:bottom w:val="nil"/>
            </w:tcBorders>
            <w:noWrap w:val="0"/>
            <w:vAlign w:val="center"/>
          </w:tcPr>
          <w:p w14:paraId="4215998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2E44D09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63F36F5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6F556FE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图纸齐全</w:t>
            </w:r>
          </w:p>
        </w:tc>
        <w:tc>
          <w:tcPr>
            <w:tcW w:w="482" w:type="pct"/>
            <w:noWrap w:val="0"/>
            <w:vAlign w:val="center"/>
          </w:tcPr>
          <w:p w14:paraId="7AF7FCD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restart"/>
            <w:tcBorders>
              <w:bottom w:val="nil"/>
            </w:tcBorders>
            <w:noWrap w:val="0"/>
            <w:vAlign w:val="center"/>
          </w:tcPr>
          <w:p w14:paraId="60645E5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588A036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FFAE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tcBorders>
              <w:top w:val="nil"/>
              <w:bottom w:val="nil"/>
            </w:tcBorders>
            <w:noWrap w:val="0"/>
            <w:vAlign w:val="center"/>
          </w:tcPr>
          <w:p w14:paraId="449C1BB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0BFCA05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10DC513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4085934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1"/>
                <w:sz w:val="21"/>
                <w:szCs w:val="21"/>
                <w:highlight w:val="none"/>
              </w:rPr>
              <w:t>发生故障时，一天之内</w:t>
            </w:r>
            <w:r>
              <w:rPr>
                <w:rFonts w:hint="eastAsia" w:ascii="仿宋" w:hAnsi="仿宋" w:eastAsia="仿宋" w:cs="仿宋"/>
                <w:color w:val="auto"/>
                <w:spacing w:val="-3"/>
                <w:sz w:val="21"/>
                <w:szCs w:val="21"/>
                <w:highlight w:val="none"/>
              </w:rPr>
              <w:t>完成维修</w:t>
            </w:r>
          </w:p>
        </w:tc>
        <w:tc>
          <w:tcPr>
            <w:tcW w:w="482" w:type="pct"/>
            <w:noWrap w:val="0"/>
            <w:vAlign w:val="center"/>
          </w:tcPr>
          <w:p w14:paraId="19BF0A1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bottom w:val="nil"/>
            </w:tcBorders>
            <w:noWrap w:val="0"/>
            <w:vAlign w:val="center"/>
          </w:tcPr>
          <w:p w14:paraId="7028C98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0FBB2C6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37D01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0CF0E0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11FCA17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tcBorders>
            <w:noWrap w:val="0"/>
            <w:vAlign w:val="center"/>
          </w:tcPr>
          <w:p w14:paraId="533D42F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3C51332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5"/>
                <w:sz w:val="21"/>
                <w:szCs w:val="21"/>
                <w:highlight w:val="none"/>
              </w:rPr>
              <w:t>日常维保记录详实、准</w:t>
            </w:r>
            <w:r>
              <w:rPr>
                <w:rFonts w:hint="eastAsia" w:ascii="仿宋" w:hAnsi="仿宋" w:eastAsia="仿宋" w:cs="仿宋"/>
                <w:color w:val="auto"/>
                <w:sz w:val="21"/>
                <w:szCs w:val="21"/>
                <w:highlight w:val="none"/>
              </w:rPr>
              <w:t>确</w:t>
            </w:r>
          </w:p>
        </w:tc>
        <w:tc>
          <w:tcPr>
            <w:tcW w:w="482" w:type="pct"/>
            <w:noWrap w:val="0"/>
            <w:vAlign w:val="center"/>
          </w:tcPr>
          <w:p w14:paraId="1AA6A33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tcBorders>
            <w:noWrap w:val="0"/>
            <w:vAlign w:val="center"/>
          </w:tcPr>
          <w:p w14:paraId="23629E0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6BACFB5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AF05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4EF48EC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18AFEA9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restart"/>
            <w:tcBorders>
              <w:bottom w:val="nil"/>
            </w:tcBorders>
            <w:noWrap w:val="0"/>
            <w:vAlign w:val="center"/>
          </w:tcPr>
          <w:p w14:paraId="527B2AA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取暖设备</w:t>
            </w:r>
          </w:p>
        </w:tc>
        <w:tc>
          <w:tcPr>
            <w:tcW w:w="1413" w:type="pct"/>
            <w:noWrap w:val="0"/>
            <w:vAlign w:val="center"/>
          </w:tcPr>
          <w:p w14:paraId="510252F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取暖设施设备配备齐</w:t>
            </w:r>
            <w:r>
              <w:rPr>
                <w:rFonts w:hint="eastAsia" w:ascii="仿宋" w:hAnsi="仿宋" w:eastAsia="仿宋" w:cs="仿宋"/>
                <w:color w:val="auto"/>
                <w:sz w:val="21"/>
                <w:szCs w:val="21"/>
                <w:highlight w:val="none"/>
              </w:rPr>
              <w:t>全</w:t>
            </w:r>
          </w:p>
        </w:tc>
        <w:tc>
          <w:tcPr>
            <w:tcW w:w="482" w:type="pct"/>
            <w:noWrap w:val="0"/>
            <w:vAlign w:val="center"/>
          </w:tcPr>
          <w:p w14:paraId="2791114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928" w:type="pct"/>
            <w:noWrap w:val="0"/>
            <w:vAlign w:val="center"/>
          </w:tcPr>
          <w:p w14:paraId="0851970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46FABE2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0B6DD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1B63D2D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3FB4BDC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52D6EEB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63B6EDA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图纸齐全</w:t>
            </w:r>
          </w:p>
        </w:tc>
        <w:tc>
          <w:tcPr>
            <w:tcW w:w="482" w:type="pct"/>
            <w:noWrap w:val="0"/>
            <w:vAlign w:val="center"/>
          </w:tcPr>
          <w:p w14:paraId="44BD30E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restart"/>
            <w:tcBorders>
              <w:bottom w:val="nil"/>
            </w:tcBorders>
            <w:noWrap w:val="0"/>
            <w:vAlign w:val="center"/>
          </w:tcPr>
          <w:p w14:paraId="4F72840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1238CCE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48C3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tcBorders>
              <w:top w:val="nil"/>
              <w:bottom w:val="nil"/>
            </w:tcBorders>
            <w:noWrap w:val="0"/>
            <w:vAlign w:val="center"/>
          </w:tcPr>
          <w:p w14:paraId="338EF27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1AE2DC8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1B4F248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61CC7A4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1"/>
                <w:sz w:val="21"/>
                <w:szCs w:val="21"/>
                <w:highlight w:val="none"/>
              </w:rPr>
              <w:t>发生故障时，能在一天</w:t>
            </w:r>
            <w:r>
              <w:rPr>
                <w:rFonts w:hint="eastAsia" w:ascii="仿宋" w:hAnsi="仿宋" w:eastAsia="仿宋" w:cs="仿宋"/>
                <w:color w:val="auto"/>
                <w:spacing w:val="-2"/>
                <w:sz w:val="21"/>
                <w:szCs w:val="21"/>
                <w:highlight w:val="none"/>
              </w:rPr>
              <w:t>之内完成维修</w:t>
            </w:r>
          </w:p>
        </w:tc>
        <w:tc>
          <w:tcPr>
            <w:tcW w:w="482" w:type="pct"/>
            <w:noWrap w:val="0"/>
            <w:vAlign w:val="center"/>
          </w:tcPr>
          <w:p w14:paraId="788AD13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bottom w:val="nil"/>
            </w:tcBorders>
            <w:noWrap w:val="0"/>
            <w:vAlign w:val="center"/>
          </w:tcPr>
          <w:p w14:paraId="4C7CE21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185A97A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87F64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3C7D268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2D0BE17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tcBorders>
            <w:noWrap w:val="0"/>
            <w:vAlign w:val="center"/>
          </w:tcPr>
          <w:p w14:paraId="7ED205C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697EE2C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5"/>
                <w:sz w:val="21"/>
                <w:szCs w:val="21"/>
                <w:highlight w:val="none"/>
              </w:rPr>
              <w:t>日常维保记录详实、准</w:t>
            </w:r>
            <w:r>
              <w:rPr>
                <w:rFonts w:hint="eastAsia" w:ascii="仿宋" w:hAnsi="仿宋" w:eastAsia="仿宋" w:cs="仿宋"/>
                <w:color w:val="auto"/>
                <w:sz w:val="21"/>
                <w:szCs w:val="21"/>
                <w:highlight w:val="none"/>
              </w:rPr>
              <w:t>确</w:t>
            </w:r>
          </w:p>
        </w:tc>
        <w:tc>
          <w:tcPr>
            <w:tcW w:w="482" w:type="pct"/>
            <w:noWrap w:val="0"/>
            <w:vAlign w:val="center"/>
          </w:tcPr>
          <w:p w14:paraId="20BF868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tcBorders>
            <w:noWrap w:val="0"/>
            <w:vAlign w:val="center"/>
          </w:tcPr>
          <w:p w14:paraId="358F888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1D4F708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C076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2A2B73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0AD0A7C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restart"/>
            <w:tcBorders>
              <w:bottom w:val="nil"/>
            </w:tcBorders>
            <w:noWrap w:val="0"/>
            <w:vAlign w:val="center"/>
          </w:tcPr>
          <w:p w14:paraId="541C545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电力设</w:t>
            </w:r>
          </w:p>
          <w:p w14:paraId="32AA08B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施设备</w:t>
            </w:r>
          </w:p>
        </w:tc>
        <w:tc>
          <w:tcPr>
            <w:tcW w:w="1413" w:type="pct"/>
            <w:noWrap w:val="0"/>
            <w:vAlign w:val="center"/>
          </w:tcPr>
          <w:p w14:paraId="298E640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5"/>
                <w:sz w:val="21"/>
                <w:szCs w:val="21"/>
                <w:highlight w:val="none"/>
              </w:rPr>
              <w:t>电力设施设备配备齐</w:t>
            </w:r>
            <w:r>
              <w:rPr>
                <w:rFonts w:hint="eastAsia" w:ascii="仿宋" w:hAnsi="仿宋" w:eastAsia="仿宋" w:cs="仿宋"/>
                <w:color w:val="auto"/>
                <w:sz w:val="21"/>
                <w:szCs w:val="21"/>
                <w:highlight w:val="none"/>
              </w:rPr>
              <w:t>全</w:t>
            </w:r>
          </w:p>
        </w:tc>
        <w:tc>
          <w:tcPr>
            <w:tcW w:w="482" w:type="pct"/>
            <w:noWrap w:val="0"/>
            <w:vAlign w:val="center"/>
          </w:tcPr>
          <w:p w14:paraId="2384A0F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928" w:type="pct"/>
            <w:noWrap w:val="0"/>
            <w:vAlign w:val="center"/>
          </w:tcPr>
          <w:p w14:paraId="3A4E78C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4DC580F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53E1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bottom w:val="nil"/>
            </w:tcBorders>
            <w:noWrap w:val="0"/>
            <w:vAlign w:val="center"/>
          </w:tcPr>
          <w:p w14:paraId="7EAB323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7B927F3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715EB3F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2606A0E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图纸齐全</w:t>
            </w:r>
          </w:p>
        </w:tc>
        <w:tc>
          <w:tcPr>
            <w:tcW w:w="482" w:type="pct"/>
            <w:noWrap w:val="0"/>
            <w:vAlign w:val="center"/>
          </w:tcPr>
          <w:p w14:paraId="416843D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restart"/>
            <w:tcBorders>
              <w:bottom w:val="nil"/>
            </w:tcBorders>
            <w:noWrap w:val="0"/>
            <w:vAlign w:val="center"/>
          </w:tcPr>
          <w:p w14:paraId="339D2D3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19DA537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1092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tcBorders>
              <w:top w:val="nil"/>
              <w:bottom w:val="nil"/>
            </w:tcBorders>
            <w:noWrap w:val="0"/>
            <w:vAlign w:val="center"/>
          </w:tcPr>
          <w:p w14:paraId="23AD71B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nil"/>
            </w:tcBorders>
            <w:noWrap w:val="0"/>
            <w:vAlign w:val="center"/>
          </w:tcPr>
          <w:p w14:paraId="635339C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nil"/>
            </w:tcBorders>
            <w:noWrap w:val="0"/>
            <w:vAlign w:val="center"/>
          </w:tcPr>
          <w:p w14:paraId="1995D09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5A185E5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1"/>
                <w:sz w:val="21"/>
                <w:szCs w:val="21"/>
                <w:highlight w:val="none"/>
              </w:rPr>
              <w:t>发生故障时，能在一天</w:t>
            </w:r>
            <w:r>
              <w:rPr>
                <w:rFonts w:hint="eastAsia" w:ascii="仿宋" w:hAnsi="仿宋" w:eastAsia="仿宋" w:cs="仿宋"/>
                <w:color w:val="auto"/>
                <w:spacing w:val="-2"/>
                <w:sz w:val="21"/>
                <w:szCs w:val="21"/>
                <w:highlight w:val="none"/>
              </w:rPr>
              <w:t>之内完成维修</w:t>
            </w:r>
          </w:p>
        </w:tc>
        <w:tc>
          <w:tcPr>
            <w:tcW w:w="482" w:type="pct"/>
            <w:noWrap w:val="0"/>
            <w:vAlign w:val="center"/>
          </w:tcPr>
          <w:p w14:paraId="1D07322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bottom w:val="nil"/>
            </w:tcBorders>
            <w:noWrap w:val="0"/>
            <w:vAlign w:val="center"/>
          </w:tcPr>
          <w:p w14:paraId="38DFD86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13F29FA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1E613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vMerge w:val="continue"/>
            <w:tcBorders>
              <w:top w:val="nil"/>
            </w:tcBorders>
            <w:noWrap w:val="0"/>
            <w:vAlign w:val="center"/>
          </w:tcPr>
          <w:p w14:paraId="3AD1FDC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tcBorders>
            <w:noWrap w:val="0"/>
            <w:vAlign w:val="center"/>
          </w:tcPr>
          <w:p w14:paraId="122FC18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tcBorders>
            <w:noWrap w:val="0"/>
            <w:vAlign w:val="center"/>
          </w:tcPr>
          <w:p w14:paraId="7DC21B5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1413" w:type="pct"/>
            <w:noWrap w:val="0"/>
            <w:vAlign w:val="center"/>
          </w:tcPr>
          <w:p w14:paraId="4C5BDE1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5"/>
                <w:sz w:val="21"/>
                <w:szCs w:val="21"/>
                <w:highlight w:val="none"/>
              </w:rPr>
              <w:t>日常维保记录详实、准</w:t>
            </w:r>
            <w:r>
              <w:rPr>
                <w:rFonts w:hint="eastAsia" w:ascii="仿宋" w:hAnsi="仿宋" w:eastAsia="仿宋" w:cs="仿宋"/>
                <w:color w:val="auto"/>
                <w:sz w:val="21"/>
                <w:szCs w:val="21"/>
                <w:highlight w:val="none"/>
              </w:rPr>
              <w:t>确</w:t>
            </w:r>
          </w:p>
        </w:tc>
        <w:tc>
          <w:tcPr>
            <w:tcW w:w="482" w:type="pct"/>
            <w:noWrap w:val="0"/>
            <w:vAlign w:val="center"/>
          </w:tcPr>
          <w:p w14:paraId="1EDDA85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tcBorders>
            <w:noWrap w:val="0"/>
            <w:vAlign w:val="center"/>
          </w:tcPr>
          <w:p w14:paraId="1DA383D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73F8DB7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06DE8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restart"/>
            <w:tcBorders>
              <w:bottom w:val="nil"/>
            </w:tcBorders>
            <w:noWrap w:val="0"/>
            <w:vAlign w:val="center"/>
          </w:tcPr>
          <w:p w14:paraId="4983E11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444" w:type="pct"/>
            <w:vMerge w:val="restart"/>
            <w:tcBorders>
              <w:bottom w:val="nil"/>
            </w:tcBorders>
            <w:noWrap w:val="0"/>
            <w:vAlign w:val="center"/>
          </w:tcPr>
          <w:p w14:paraId="26F2E4E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p w14:paraId="061DC37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p>
          <w:p w14:paraId="5EFF385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5"/>
                <w:sz w:val="21"/>
                <w:szCs w:val="21"/>
                <w:highlight w:val="none"/>
              </w:rPr>
              <w:t>消防设</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3"/>
                <w:sz w:val="21"/>
                <w:szCs w:val="21"/>
                <w:highlight w:val="none"/>
              </w:rPr>
              <w:t>施设备</w:t>
            </w:r>
          </w:p>
        </w:tc>
        <w:tc>
          <w:tcPr>
            <w:tcW w:w="686" w:type="pct"/>
            <w:vMerge w:val="restart"/>
            <w:tcBorders>
              <w:bottom w:val="nil"/>
            </w:tcBorders>
            <w:noWrap w:val="0"/>
            <w:vAlign w:val="center"/>
          </w:tcPr>
          <w:p w14:paraId="4CA846F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p w14:paraId="5968564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pacing w:val="-3"/>
                <w:sz w:val="21"/>
                <w:szCs w:val="21"/>
                <w:highlight w:val="none"/>
              </w:rPr>
            </w:pPr>
          </w:p>
          <w:p w14:paraId="23C14C7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自动火灾</w:t>
            </w:r>
          </w:p>
          <w:p w14:paraId="10B324A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报警系统</w:t>
            </w:r>
          </w:p>
        </w:tc>
        <w:tc>
          <w:tcPr>
            <w:tcW w:w="1413" w:type="pct"/>
            <w:noWrap w:val="0"/>
            <w:vAlign w:val="center"/>
          </w:tcPr>
          <w:p w14:paraId="738EE8A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烟感报警器使用状态</w:t>
            </w:r>
            <w:r>
              <w:rPr>
                <w:rFonts w:hint="eastAsia" w:ascii="仿宋" w:hAnsi="仿宋" w:eastAsia="仿宋" w:cs="仿宋"/>
                <w:color w:val="auto"/>
                <w:spacing w:val="-8"/>
                <w:sz w:val="21"/>
                <w:szCs w:val="21"/>
                <w:highlight w:val="none"/>
              </w:rPr>
              <w:t>正常</w:t>
            </w:r>
          </w:p>
        </w:tc>
        <w:tc>
          <w:tcPr>
            <w:tcW w:w="482" w:type="pct"/>
            <w:noWrap w:val="0"/>
            <w:vAlign w:val="center"/>
          </w:tcPr>
          <w:p w14:paraId="53B6EF5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restart"/>
            <w:tcBorders>
              <w:bottom w:val="nil"/>
            </w:tcBorders>
            <w:noWrap w:val="0"/>
            <w:vAlign w:val="center"/>
          </w:tcPr>
          <w:p w14:paraId="68F0B13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66C5CF2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284AF3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tcBorders>
              <w:top w:val="nil"/>
              <w:bottom w:val="single" w:color="auto" w:sz="4" w:space="0"/>
            </w:tcBorders>
            <w:noWrap w:val="0"/>
            <w:vAlign w:val="center"/>
          </w:tcPr>
          <w:p w14:paraId="79D5268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single" w:color="auto" w:sz="4" w:space="0"/>
            </w:tcBorders>
            <w:noWrap w:val="0"/>
            <w:vAlign w:val="center"/>
          </w:tcPr>
          <w:p w14:paraId="176FF95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single" w:color="auto" w:sz="4" w:space="0"/>
            </w:tcBorders>
            <w:noWrap w:val="0"/>
            <w:vAlign w:val="center"/>
          </w:tcPr>
          <w:p w14:paraId="5FA4DCD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tcBorders>
              <w:bottom w:val="single" w:color="auto" w:sz="4" w:space="0"/>
            </w:tcBorders>
            <w:noWrap w:val="0"/>
            <w:vAlign w:val="center"/>
          </w:tcPr>
          <w:p w14:paraId="00598CD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温感报警器使用状态</w:t>
            </w:r>
            <w:r>
              <w:rPr>
                <w:rFonts w:hint="eastAsia" w:ascii="仿宋" w:hAnsi="仿宋" w:eastAsia="仿宋" w:cs="仿宋"/>
                <w:color w:val="auto"/>
                <w:spacing w:val="-8"/>
                <w:sz w:val="21"/>
                <w:szCs w:val="21"/>
                <w:highlight w:val="none"/>
              </w:rPr>
              <w:t>正常</w:t>
            </w:r>
          </w:p>
        </w:tc>
        <w:tc>
          <w:tcPr>
            <w:tcW w:w="482" w:type="pct"/>
            <w:tcBorders>
              <w:bottom w:val="single" w:color="auto" w:sz="4" w:space="0"/>
            </w:tcBorders>
            <w:noWrap w:val="0"/>
            <w:vAlign w:val="center"/>
          </w:tcPr>
          <w:p w14:paraId="5674367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nil"/>
              <w:bottom w:val="single" w:color="auto" w:sz="4" w:space="0"/>
            </w:tcBorders>
            <w:noWrap w:val="0"/>
            <w:vAlign w:val="center"/>
          </w:tcPr>
          <w:p w14:paraId="735991F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5038A93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5CF2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tcBorders>
              <w:top w:val="single" w:color="auto" w:sz="4" w:space="0"/>
              <w:bottom w:val="nil"/>
            </w:tcBorders>
            <w:noWrap w:val="0"/>
            <w:vAlign w:val="center"/>
          </w:tcPr>
          <w:p w14:paraId="6DEAD0F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single" w:color="auto" w:sz="4" w:space="0"/>
              <w:bottom w:val="nil"/>
            </w:tcBorders>
            <w:noWrap w:val="0"/>
            <w:vAlign w:val="center"/>
          </w:tcPr>
          <w:p w14:paraId="48C4AF6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single" w:color="auto" w:sz="4" w:space="0"/>
              <w:bottom w:val="nil"/>
            </w:tcBorders>
            <w:noWrap w:val="0"/>
            <w:vAlign w:val="center"/>
          </w:tcPr>
          <w:p w14:paraId="274C8D3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tcBorders>
              <w:top w:val="single" w:color="auto" w:sz="4" w:space="0"/>
            </w:tcBorders>
            <w:noWrap w:val="0"/>
            <w:vAlign w:val="center"/>
          </w:tcPr>
          <w:p w14:paraId="08E4071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火灾报警器使用状态</w:t>
            </w:r>
            <w:r>
              <w:rPr>
                <w:rFonts w:hint="eastAsia" w:ascii="仿宋" w:hAnsi="仿宋" w:eastAsia="仿宋" w:cs="仿宋"/>
                <w:color w:val="auto"/>
                <w:spacing w:val="-8"/>
                <w:sz w:val="21"/>
                <w:szCs w:val="21"/>
                <w:highlight w:val="none"/>
              </w:rPr>
              <w:t>正常</w:t>
            </w:r>
          </w:p>
        </w:tc>
        <w:tc>
          <w:tcPr>
            <w:tcW w:w="482" w:type="pct"/>
            <w:tcBorders>
              <w:top w:val="single" w:color="auto" w:sz="4" w:space="0"/>
            </w:tcBorders>
            <w:noWrap w:val="0"/>
            <w:vAlign w:val="center"/>
          </w:tcPr>
          <w:p w14:paraId="6E9D05A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928" w:type="pct"/>
            <w:vMerge w:val="continue"/>
            <w:tcBorders>
              <w:top w:val="single" w:color="auto" w:sz="4" w:space="0"/>
            </w:tcBorders>
            <w:noWrap w:val="0"/>
            <w:vAlign w:val="center"/>
          </w:tcPr>
          <w:p w14:paraId="5B2B007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75" w:type="pct"/>
            <w:noWrap w:val="0"/>
            <w:vAlign w:val="center"/>
          </w:tcPr>
          <w:p w14:paraId="33D4CD2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5C1CB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exact"/>
          <w:jc w:val="center"/>
        </w:trPr>
        <w:tc>
          <w:tcPr>
            <w:tcW w:w="370" w:type="pct"/>
            <w:vMerge w:val="continue"/>
            <w:tcBorders>
              <w:top w:val="nil"/>
              <w:bottom w:val="single" w:color="auto" w:sz="4" w:space="0"/>
            </w:tcBorders>
            <w:noWrap w:val="0"/>
            <w:vAlign w:val="center"/>
          </w:tcPr>
          <w:p w14:paraId="3E57477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top w:val="nil"/>
              <w:bottom w:val="single" w:color="auto" w:sz="4" w:space="0"/>
            </w:tcBorders>
            <w:noWrap w:val="0"/>
            <w:vAlign w:val="center"/>
          </w:tcPr>
          <w:p w14:paraId="47AA884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vMerge w:val="continue"/>
            <w:tcBorders>
              <w:top w:val="nil"/>
              <w:bottom w:val="single" w:color="auto" w:sz="4" w:space="0"/>
            </w:tcBorders>
            <w:noWrap w:val="0"/>
            <w:vAlign w:val="center"/>
          </w:tcPr>
          <w:p w14:paraId="2240AE7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noWrap w:val="0"/>
            <w:vAlign w:val="center"/>
          </w:tcPr>
          <w:p w14:paraId="4BD9F52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pacing w:val="-6"/>
                <w:sz w:val="21"/>
                <w:szCs w:val="21"/>
                <w:highlight w:val="none"/>
              </w:rPr>
            </w:pPr>
            <w:r>
              <w:rPr>
                <w:rFonts w:hint="eastAsia" w:ascii="仿宋" w:hAnsi="仿宋" w:eastAsia="仿宋" w:cs="仿宋"/>
                <w:color w:val="auto"/>
                <w:spacing w:val="-6"/>
                <w:sz w:val="21"/>
                <w:szCs w:val="21"/>
                <w:highlight w:val="none"/>
              </w:rPr>
              <w:t>自动火灾报警系统按</w:t>
            </w:r>
          </w:p>
          <w:p w14:paraId="02D986B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color w:val="auto"/>
                <w:spacing w:val="-6"/>
                <w:sz w:val="21"/>
                <w:szCs w:val="21"/>
                <w:highlight w:val="none"/>
              </w:rPr>
            </w:pPr>
            <w:r>
              <w:rPr>
                <w:rFonts w:hint="eastAsia" w:ascii="仿宋" w:hAnsi="仿宋" w:eastAsia="仿宋" w:cs="仿宋"/>
                <w:color w:val="auto"/>
                <w:spacing w:val="-2"/>
                <w:sz w:val="21"/>
                <w:szCs w:val="21"/>
                <w:highlight w:val="none"/>
              </w:rPr>
              <w:t>规定定期进行维保</w:t>
            </w:r>
          </w:p>
        </w:tc>
        <w:tc>
          <w:tcPr>
            <w:tcW w:w="482" w:type="pct"/>
            <w:noWrap w:val="0"/>
            <w:vAlign w:val="center"/>
          </w:tcPr>
          <w:p w14:paraId="3DD9A37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928" w:type="pct"/>
            <w:noWrap w:val="0"/>
            <w:vAlign w:val="center"/>
          </w:tcPr>
          <w:p w14:paraId="3DD6C32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08E054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CF1E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tcBorders>
              <w:top w:val="single" w:color="auto" w:sz="4" w:space="0"/>
              <w:bottom w:val="nil"/>
            </w:tcBorders>
            <w:noWrap w:val="0"/>
            <w:vAlign w:val="center"/>
          </w:tcPr>
          <w:p w14:paraId="520ED6D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tcBorders>
              <w:top w:val="single" w:color="auto" w:sz="4" w:space="0"/>
              <w:bottom w:val="nil"/>
            </w:tcBorders>
            <w:noWrap w:val="0"/>
            <w:vAlign w:val="center"/>
          </w:tcPr>
          <w:p w14:paraId="3A17F50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single" w:color="auto" w:sz="4" w:space="0"/>
              <w:bottom w:val="nil"/>
            </w:tcBorders>
            <w:noWrap w:val="0"/>
            <w:vAlign w:val="center"/>
          </w:tcPr>
          <w:p w14:paraId="7B46D11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1ED4E5A9">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消防系统使用状态正</w:t>
            </w:r>
            <w:r>
              <w:rPr>
                <w:rFonts w:hint="eastAsia" w:ascii="仿宋" w:hAnsi="仿宋" w:eastAsia="仿宋" w:cs="仿宋"/>
                <w:color w:val="auto"/>
                <w:sz w:val="21"/>
                <w:szCs w:val="21"/>
                <w:highlight w:val="none"/>
              </w:rPr>
              <w:t>常</w:t>
            </w:r>
          </w:p>
        </w:tc>
        <w:tc>
          <w:tcPr>
            <w:tcW w:w="482" w:type="pct"/>
            <w:shd w:val="clear" w:color="auto" w:fill="auto"/>
            <w:noWrap w:val="0"/>
            <w:vAlign w:val="center"/>
          </w:tcPr>
          <w:p w14:paraId="68FD2F1C">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restart"/>
            <w:noWrap w:val="0"/>
            <w:vAlign w:val="center"/>
          </w:tcPr>
          <w:p w14:paraId="3CD4129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06AB688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44912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exact"/>
          <w:jc w:val="center"/>
        </w:trPr>
        <w:tc>
          <w:tcPr>
            <w:tcW w:w="370" w:type="pct"/>
            <w:tcBorders>
              <w:top w:val="nil"/>
              <w:bottom w:val="nil"/>
            </w:tcBorders>
            <w:noWrap w:val="0"/>
            <w:vAlign w:val="center"/>
          </w:tcPr>
          <w:p w14:paraId="15C7D1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tcBorders>
              <w:top w:val="nil"/>
              <w:bottom w:val="nil"/>
            </w:tcBorders>
            <w:noWrap w:val="0"/>
            <w:vAlign w:val="center"/>
          </w:tcPr>
          <w:p w14:paraId="0F30B55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5658A26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3B6EF601">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消火栓使用状态正常</w:t>
            </w:r>
          </w:p>
        </w:tc>
        <w:tc>
          <w:tcPr>
            <w:tcW w:w="482" w:type="pct"/>
            <w:shd w:val="clear" w:color="auto" w:fill="auto"/>
            <w:noWrap w:val="0"/>
            <w:vAlign w:val="center"/>
          </w:tcPr>
          <w:p w14:paraId="794CFE80">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64077E7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3266684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3C091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tcBorders>
              <w:top w:val="nil"/>
              <w:bottom w:val="nil"/>
            </w:tcBorders>
            <w:noWrap w:val="0"/>
            <w:vAlign w:val="center"/>
          </w:tcPr>
          <w:p w14:paraId="7DC3DFB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restart"/>
            <w:tcBorders>
              <w:top w:val="nil"/>
            </w:tcBorders>
            <w:noWrap w:val="0"/>
            <w:vAlign w:val="center"/>
          </w:tcPr>
          <w:p w14:paraId="0E9D396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5"/>
                <w:sz w:val="21"/>
                <w:szCs w:val="21"/>
                <w:highlight w:val="none"/>
              </w:rPr>
              <w:t>消防设</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3"/>
                <w:sz w:val="21"/>
                <w:szCs w:val="21"/>
                <w:highlight w:val="none"/>
              </w:rPr>
              <w:t>施设备</w:t>
            </w:r>
          </w:p>
        </w:tc>
        <w:tc>
          <w:tcPr>
            <w:tcW w:w="686" w:type="pct"/>
            <w:tcBorders>
              <w:top w:val="nil"/>
              <w:bottom w:val="nil"/>
            </w:tcBorders>
            <w:noWrap w:val="0"/>
            <w:vAlign w:val="center"/>
          </w:tcPr>
          <w:p w14:paraId="02353DF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246C862E">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湿式报警阀使用状态</w:t>
            </w:r>
            <w:r>
              <w:rPr>
                <w:rFonts w:hint="eastAsia" w:ascii="仿宋" w:hAnsi="仿宋" w:eastAsia="仿宋" w:cs="仿宋"/>
                <w:color w:val="auto"/>
                <w:spacing w:val="-8"/>
                <w:sz w:val="21"/>
                <w:szCs w:val="21"/>
                <w:highlight w:val="none"/>
              </w:rPr>
              <w:t>正常</w:t>
            </w:r>
          </w:p>
        </w:tc>
        <w:tc>
          <w:tcPr>
            <w:tcW w:w="482" w:type="pct"/>
            <w:shd w:val="clear" w:color="auto" w:fill="auto"/>
            <w:noWrap w:val="0"/>
            <w:vAlign w:val="center"/>
          </w:tcPr>
          <w:p w14:paraId="11AB5E9C">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7D13A99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0149B4A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4D5AB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tcBorders>
              <w:top w:val="nil"/>
              <w:bottom w:val="nil"/>
            </w:tcBorders>
            <w:noWrap w:val="0"/>
            <w:vAlign w:val="center"/>
          </w:tcPr>
          <w:p w14:paraId="46E83A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29E7C5E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2408DD1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消防水</w:t>
            </w:r>
          </w:p>
          <w:p w14:paraId="5F751F0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3"/>
                <w:sz w:val="21"/>
                <w:szCs w:val="21"/>
                <w:highlight w:val="none"/>
              </w:rPr>
              <w:t>灭火系统</w:t>
            </w:r>
          </w:p>
        </w:tc>
        <w:tc>
          <w:tcPr>
            <w:tcW w:w="1413" w:type="pct"/>
            <w:shd w:val="clear" w:color="auto" w:fill="auto"/>
            <w:noWrap w:val="0"/>
            <w:vAlign w:val="center"/>
          </w:tcPr>
          <w:p w14:paraId="413118A9">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1"/>
                <w:sz w:val="21"/>
                <w:szCs w:val="21"/>
                <w:highlight w:val="none"/>
              </w:rPr>
              <w:t>干式报警阀等使用状</w:t>
            </w:r>
            <w:r>
              <w:rPr>
                <w:rFonts w:hint="eastAsia" w:ascii="仿宋" w:hAnsi="仿宋" w:eastAsia="仿宋" w:cs="仿宋"/>
                <w:color w:val="auto"/>
                <w:spacing w:val="-4"/>
                <w:sz w:val="21"/>
                <w:szCs w:val="21"/>
                <w:highlight w:val="none"/>
              </w:rPr>
              <w:t>态正常</w:t>
            </w:r>
          </w:p>
        </w:tc>
        <w:tc>
          <w:tcPr>
            <w:tcW w:w="482" w:type="pct"/>
            <w:shd w:val="clear" w:color="auto" w:fill="auto"/>
            <w:noWrap w:val="0"/>
            <w:vAlign w:val="center"/>
          </w:tcPr>
          <w:p w14:paraId="43D63907">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071C61E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09A76AB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5A66E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restart"/>
            <w:tcBorders>
              <w:top w:val="nil"/>
            </w:tcBorders>
            <w:noWrap w:val="0"/>
            <w:vAlign w:val="center"/>
          </w:tcPr>
          <w:p w14:paraId="0C3A85B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5C9099D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23471AB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2D7A5C36">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1"/>
                <w:sz w:val="21"/>
                <w:szCs w:val="21"/>
                <w:highlight w:val="none"/>
              </w:rPr>
              <w:t>干式报警阀等使用状</w:t>
            </w:r>
            <w:r>
              <w:rPr>
                <w:rFonts w:hint="eastAsia" w:ascii="仿宋" w:hAnsi="仿宋" w:eastAsia="仿宋" w:cs="仿宋"/>
                <w:color w:val="auto"/>
                <w:spacing w:val="-4"/>
                <w:sz w:val="21"/>
                <w:szCs w:val="21"/>
                <w:highlight w:val="none"/>
              </w:rPr>
              <w:t>态正常</w:t>
            </w:r>
          </w:p>
        </w:tc>
        <w:tc>
          <w:tcPr>
            <w:tcW w:w="482" w:type="pct"/>
            <w:shd w:val="clear" w:color="auto" w:fill="auto"/>
            <w:noWrap w:val="0"/>
            <w:vAlign w:val="center"/>
          </w:tcPr>
          <w:p w14:paraId="1F93377C">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shd w:val="clear" w:color="auto" w:fill="auto"/>
            <w:noWrap w:val="0"/>
            <w:vAlign w:val="center"/>
          </w:tcPr>
          <w:p w14:paraId="6FED94E6">
            <w:pPr>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p>
        </w:tc>
        <w:tc>
          <w:tcPr>
            <w:tcW w:w="675" w:type="pct"/>
            <w:noWrap w:val="0"/>
            <w:vAlign w:val="center"/>
          </w:tcPr>
          <w:p w14:paraId="001CF30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437C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7D09502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2BAE732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single" w:color="auto" w:sz="4" w:space="0"/>
            </w:tcBorders>
            <w:noWrap w:val="0"/>
            <w:vAlign w:val="center"/>
          </w:tcPr>
          <w:p w14:paraId="0B41475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tcBorders>
              <w:bottom w:val="single" w:color="auto" w:sz="4" w:space="0"/>
            </w:tcBorders>
            <w:shd w:val="clear" w:color="auto" w:fill="auto"/>
            <w:noWrap w:val="0"/>
            <w:vAlign w:val="center"/>
          </w:tcPr>
          <w:p w14:paraId="13FCEEF7">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消防水灭火系统按规</w:t>
            </w:r>
            <w:r>
              <w:rPr>
                <w:rFonts w:hint="eastAsia" w:ascii="仿宋" w:hAnsi="仿宋" w:eastAsia="仿宋" w:cs="仿宋"/>
                <w:color w:val="auto"/>
                <w:spacing w:val="-3"/>
                <w:sz w:val="21"/>
                <w:szCs w:val="21"/>
                <w:highlight w:val="none"/>
              </w:rPr>
              <w:t>定定期进行维保</w:t>
            </w:r>
          </w:p>
        </w:tc>
        <w:tc>
          <w:tcPr>
            <w:tcW w:w="482" w:type="pct"/>
            <w:shd w:val="clear" w:color="auto" w:fill="auto"/>
            <w:noWrap w:val="0"/>
            <w:vAlign w:val="center"/>
          </w:tcPr>
          <w:p w14:paraId="5C8048A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3</w:t>
            </w:r>
          </w:p>
        </w:tc>
        <w:tc>
          <w:tcPr>
            <w:tcW w:w="928" w:type="pct"/>
            <w:shd w:val="clear" w:color="auto" w:fill="auto"/>
            <w:noWrap w:val="0"/>
            <w:vAlign w:val="center"/>
          </w:tcPr>
          <w:p w14:paraId="0DD5D95B">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48CEE52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2A484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4" w:hRule="exact"/>
          <w:jc w:val="center"/>
        </w:trPr>
        <w:tc>
          <w:tcPr>
            <w:tcW w:w="370" w:type="pct"/>
            <w:vMerge w:val="continue"/>
            <w:noWrap w:val="0"/>
            <w:vAlign w:val="center"/>
          </w:tcPr>
          <w:p w14:paraId="493FE6C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69C16BF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single" w:color="auto" w:sz="4" w:space="0"/>
              <w:bottom w:val="single" w:color="auto" w:sz="4" w:space="0"/>
            </w:tcBorders>
            <w:shd w:val="clear" w:color="auto" w:fill="auto"/>
            <w:noWrap w:val="0"/>
            <w:vAlign w:val="top"/>
          </w:tcPr>
          <w:p w14:paraId="2943A64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应急照明</w:t>
            </w:r>
          </w:p>
          <w:p w14:paraId="5BC850D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灯与疏散</w:t>
            </w:r>
          </w:p>
          <w:p w14:paraId="54318E8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指灯</w:t>
            </w:r>
          </w:p>
        </w:tc>
        <w:tc>
          <w:tcPr>
            <w:tcW w:w="1413" w:type="pct"/>
            <w:tcBorders>
              <w:top w:val="single" w:color="auto" w:sz="4" w:space="0"/>
              <w:bottom w:val="single" w:color="auto" w:sz="4" w:space="0"/>
            </w:tcBorders>
            <w:shd w:val="clear" w:color="auto" w:fill="auto"/>
            <w:noWrap w:val="0"/>
            <w:vAlign w:val="center"/>
          </w:tcPr>
          <w:p w14:paraId="0E7E05EC">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11"/>
                <w:sz w:val="21"/>
                <w:szCs w:val="21"/>
                <w:highlight w:val="none"/>
              </w:rPr>
              <w:t>应急照明灯、疏散指灯配备齐全</w:t>
            </w:r>
            <w:r>
              <w:rPr>
                <w:rFonts w:hint="eastAsia" w:ascii="仿宋" w:hAnsi="仿宋" w:eastAsia="仿宋" w:cs="仿宋"/>
                <w:color w:val="auto"/>
                <w:spacing w:val="-11"/>
                <w:sz w:val="21"/>
                <w:szCs w:val="21"/>
                <w:highlight w:val="none"/>
                <w:lang w:eastAsia="zh-CN"/>
              </w:rPr>
              <w:t>，</w:t>
            </w:r>
            <w:r>
              <w:rPr>
                <w:rFonts w:hint="eastAsia" w:ascii="仿宋" w:hAnsi="仿宋" w:eastAsia="仿宋" w:cs="仿宋"/>
                <w:color w:val="auto"/>
                <w:spacing w:val="-11"/>
                <w:sz w:val="21"/>
                <w:szCs w:val="21"/>
                <w:highlight w:val="none"/>
              </w:rPr>
              <w:t>且使用状态</w:t>
            </w:r>
            <w:r>
              <w:rPr>
                <w:rFonts w:hint="eastAsia" w:ascii="仿宋" w:hAnsi="仿宋" w:eastAsia="仿宋" w:cs="仿宋"/>
                <w:color w:val="auto"/>
                <w:spacing w:val="-5"/>
                <w:sz w:val="21"/>
                <w:szCs w:val="21"/>
                <w:highlight w:val="none"/>
              </w:rPr>
              <w:t>正常</w:t>
            </w:r>
          </w:p>
        </w:tc>
        <w:tc>
          <w:tcPr>
            <w:tcW w:w="482" w:type="pct"/>
            <w:shd w:val="clear" w:color="auto" w:fill="auto"/>
            <w:noWrap w:val="0"/>
            <w:vAlign w:val="center"/>
          </w:tcPr>
          <w:p w14:paraId="6D5BFD80">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3</w:t>
            </w:r>
          </w:p>
        </w:tc>
        <w:tc>
          <w:tcPr>
            <w:tcW w:w="928" w:type="pct"/>
            <w:shd w:val="clear" w:color="auto" w:fill="auto"/>
            <w:noWrap w:val="0"/>
            <w:vAlign w:val="center"/>
          </w:tcPr>
          <w:p w14:paraId="7A30CCE5">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55B16D9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331F3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1074ADF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44501D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single" w:color="auto" w:sz="4" w:space="0"/>
              <w:bottom w:val="nil"/>
            </w:tcBorders>
            <w:shd w:val="clear" w:color="auto" w:fill="auto"/>
            <w:noWrap w:val="0"/>
            <w:vAlign w:val="center"/>
          </w:tcPr>
          <w:p w14:paraId="335DF54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灭火器</w:t>
            </w:r>
          </w:p>
        </w:tc>
        <w:tc>
          <w:tcPr>
            <w:tcW w:w="1413" w:type="pct"/>
            <w:tcBorders>
              <w:top w:val="single" w:color="auto" w:sz="4" w:space="0"/>
            </w:tcBorders>
            <w:shd w:val="clear" w:color="auto" w:fill="auto"/>
            <w:noWrap w:val="0"/>
            <w:vAlign w:val="center"/>
          </w:tcPr>
          <w:p w14:paraId="001DDF75">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按消防规定配备足够数量的灭火器</w:t>
            </w:r>
          </w:p>
        </w:tc>
        <w:tc>
          <w:tcPr>
            <w:tcW w:w="482" w:type="pct"/>
            <w:shd w:val="clear" w:color="auto" w:fill="auto"/>
            <w:noWrap w:val="0"/>
            <w:vAlign w:val="center"/>
          </w:tcPr>
          <w:p w14:paraId="0B04C3B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restart"/>
            <w:shd w:val="clear" w:color="auto" w:fill="auto"/>
            <w:noWrap w:val="0"/>
            <w:vAlign w:val="center"/>
          </w:tcPr>
          <w:p w14:paraId="073C6AD0">
            <w:pPr>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65E3790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07A5DC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48E819A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240A33C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39833A3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5D16B0ED">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配备的灭火器使用状</w:t>
            </w:r>
            <w:r>
              <w:rPr>
                <w:rFonts w:hint="eastAsia" w:ascii="仿宋" w:hAnsi="仿宋" w:eastAsia="仿宋" w:cs="仿宋"/>
                <w:color w:val="auto"/>
                <w:spacing w:val="-4"/>
                <w:sz w:val="21"/>
                <w:szCs w:val="21"/>
                <w:highlight w:val="none"/>
              </w:rPr>
              <w:t>态正常</w:t>
            </w:r>
          </w:p>
        </w:tc>
        <w:tc>
          <w:tcPr>
            <w:tcW w:w="482" w:type="pct"/>
            <w:shd w:val="clear" w:color="auto" w:fill="auto"/>
            <w:noWrap w:val="0"/>
            <w:vAlign w:val="center"/>
          </w:tcPr>
          <w:p w14:paraId="65570AA9">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47131C0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7C330C9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898F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2CC83DF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254736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5D2DC35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7B60BBB5">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按照消防规定对灭火器进行年检</w:t>
            </w:r>
          </w:p>
        </w:tc>
        <w:tc>
          <w:tcPr>
            <w:tcW w:w="482" w:type="pct"/>
            <w:shd w:val="clear" w:color="auto" w:fill="auto"/>
            <w:noWrap w:val="0"/>
            <w:vAlign w:val="center"/>
          </w:tcPr>
          <w:p w14:paraId="5E338B32">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754D90F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4754F38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352D2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68A18E4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72BB3F6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nil"/>
            </w:tcBorders>
            <w:noWrap w:val="0"/>
            <w:vAlign w:val="center"/>
          </w:tcPr>
          <w:p w14:paraId="4B8D265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5FE7EE2B">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配电室配备二氧化碳</w:t>
            </w:r>
            <w:r>
              <w:rPr>
                <w:rFonts w:hint="eastAsia" w:ascii="仿宋" w:hAnsi="仿宋" w:eastAsia="仿宋" w:cs="仿宋"/>
                <w:color w:val="auto"/>
                <w:spacing w:val="-5"/>
                <w:sz w:val="21"/>
                <w:szCs w:val="21"/>
                <w:highlight w:val="none"/>
              </w:rPr>
              <w:t>灭火器</w:t>
            </w:r>
          </w:p>
        </w:tc>
        <w:tc>
          <w:tcPr>
            <w:tcW w:w="482" w:type="pct"/>
            <w:shd w:val="clear" w:color="auto" w:fill="auto"/>
            <w:noWrap w:val="0"/>
            <w:vAlign w:val="center"/>
          </w:tcPr>
          <w:p w14:paraId="00C6C8F7">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vMerge w:val="continue"/>
            <w:noWrap w:val="0"/>
            <w:vAlign w:val="center"/>
          </w:tcPr>
          <w:p w14:paraId="367AF96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p>
        </w:tc>
        <w:tc>
          <w:tcPr>
            <w:tcW w:w="675" w:type="pct"/>
            <w:noWrap w:val="0"/>
            <w:vAlign w:val="center"/>
          </w:tcPr>
          <w:p w14:paraId="0D56939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263BB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vMerge w:val="continue"/>
            <w:noWrap w:val="0"/>
            <w:vAlign w:val="center"/>
          </w:tcPr>
          <w:p w14:paraId="598536B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263C72B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nil"/>
              <w:bottom w:val="single" w:color="auto" w:sz="4" w:space="0"/>
            </w:tcBorders>
            <w:noWrap w:val="0"/>
            <w:vAlign w:val="center"/>
          </w:tcPr>
          <w:p w14:paraId="2A7ED14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1413" w:type="pct"/>
            <w:shd w:val="clear" w:color="auto" w:fill="auto"/>
            <w:noWrap w:val="0"/>
            <w:vAlign w:val="center"/>
          </w:tcPr>
          <w:p w14:paraId="3DBB6D83">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灭火器按规定定期进</w:t>
            </w:r>
            <w:r>
              <w:rPr>
                <w:rFonts w:hint="eastAsia" w:ascii="仿宋" w:hAnsi="仿宋" w:eastAsia="仿宋" w:cs="仿宋"/>
                <w:color w:val="auto"/>
                <w:spacing w:val="-5"/>
                <w:sz w:val="21"/>
                <w:szCs w:val="21"/>
                <w:highlight w:val="none"/>
              </w:rPr>
              <w:t>行维保</w:t>
            </w:r>
          </w:p>
        </w:tc>
        <w:tc>
          <w:tcPr>
            <w:tcW w:w="482" w:type="pct"/>
            <w:shd w:val="clear" w:color="auto" w:fill="auto"/>
            <w:noWrap w:val="0"/>
            <w:vAlign w:val="center"/>
          </w:tcPr>
          <w:p w14:paraId="6F956FA9">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3</w:t>
            </w:r>
          </w:p>
        </w:tc>
        <w:tc>
          <w:tcPr>
            <w:tcW w:w="928" w:type="pct"/>
            <w:shd w:val="clear" w:color="auto" w:fill="auto"/>
            <w:noWrap w:val="0"/>
            <w:vAlign w:val="center"/>
          </w:tcPr>
          <w:p w14:paraId="27B69E00">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查看登记记录</w:t>
            </w:r>
          </w:p>
        </w:tc>
        <w:tc>
          <w:tcPr>
            <w:tcW w:w="675" w:type="pct"/>
            <w:noWrap w:val="0"/>
            <w:vAlign w:val="center"/>
          </w:tcPr>
          <w:p w14:paraId="7DBB37C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12B34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0" w:hRule="exact"/>
          <w:jc w:val="center"/>
        </w:trPr>
        <w:tc>
          <w:tcPr>
            <w:tcW w:w="370" w:type="pct"/>
            <w:vMerge w:val="continue"/>
            <w:noWrap w:val="0"/>
            <w:vAlign w:val="center"/>
          </w:tcPr>
          <w:p w14:paraId="7BD27BB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noWrap w:val="0"/>
            <w:vAlign w:val="center"/>
          </w:tcPr>
          <w:p w14:paraId="6263EA5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single" w:color="auto" w:sz="4" w:space="0"/>
              <w:bottom w:val="single" w:color="auto" w:sz="4" w:space="0"/>
            </w:tcBorders>
            <w:shd w:val="clear" w:color="auto" w:fill="auto"/>
            <w:noWrap w:val="0"/>
            <w:vAlign w:val="top"/>
          </w:tcPr>
          <w:p w14:paraId="2B37FC1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防排烟</w:t>
            </w:r>
          </w:p>
          <w:p w14:paraId="02A48BC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系统</w:t>
            </w:r>
          </w:p>
        </w:tc>
        <w:tc>
          <w:tcPr>
            <w:tcW w:w="1413" w:type="pct"/>
            <w:shd w:val="clear" w:color="auto" w:fill="auto"/>
            <w:noWrap w:val="0"/>
            <w:vAlign w:val="center"/>
          </w:tcPr>
          <w:p w14:paraId="63A36D8E">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防排烟系统使用状态</w:t>
            </w:r>
            <w:r>
              <w:rPr>
                <w:rFonts w:hint="eastAsia" w:ascii="仿宋" w:hAnsi="仿宋" w:eastAsia="仿宋" w:cs="仿宋"/>
                <w:color w:val="auto"/>
                <w:spacing w:val="-8"/>
                <w:sz w:val="21"/>
                <w:szCs w:val="21"/>
                <w:highlight w:val="none"/>
              </w:rPr>
              <w:t>正常</w:t>
            </w:r>
          </w:p>
        </w:tc>
        <w:tc>
          <w:tcPr>
            <w:tcW w:w="482" w:type="pct"/>
            <w:shd w:val="clear" w:color="auto" w:fill="auto"/>
            <w:noWrap w:val="0"/>
            <w:vAlign w:val="center"/>
          </w:tcPr>
          <w:p w14:paraId="2237BE29">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3</w:t>
            </w:r>
          </w:p>
        </w:tc>
        <w:tc>
          <w:tcPr>
            <w:tcW w:w="928" w:type="pct"/>
            <w:shd w:val="clear" w:color="auto" w:fill="auto"/>
            <w:noWrap w:val="0"/>
            <w:vAlign w:val="center"/>
          </w:tcPr>
          <w:p w14:paraId="1FE6034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31B2B41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F3397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8" w:hRule="exact"/>
          <w:jc w:val="center"/>
        </w:trPr>
        <w:tc>
          <w:tcPr>
            <w:tcW w:w="370" w:type="pct"/>
            <w:vMerge w:val="continue"/>
            <w:tcBorders>
              <w:bottom w:val="single" w:color="auto" w:sz="4" w:space="0"/>
            </w:tcBorders>
            <w:noWrap w:val="0"/>
            <w:vAlign w:val="center"/>
          </w:tcPr>
          <w:p w14:paraId="7E729E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bottom w:val="single" w:color="auto" w:sz="4" w:space="0"/>
            </w:tcBorders>
            <w:noWrap w:val="0"/>
            <w:vAlign w:val="center"/>
          </w:tcPr>
          <w:p w14:paraId="64A1C8C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686" w:type="pct"/>
            <w:tcBorders>
              <w:top w:val="single" w:color="auto" w:sz="4" w:space="0"/>
              <w:bottom w:val="single" w:color="auto" w:sz="4" w:space="0"/>
            </w:tcBorders>
            <w:shd w:val="clear" w:color="auto" w:fill="auto"/>
            <w:noWrap w:val="0"/>
            <w:vAlign w:val="top"/>
          </w:tcPr>
          <w:p w14:paraId="7B2988B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其他附属</w:t>
            </w:r>
          </w:p>
          <w:p w14:paraId="549E276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设施</w:t>
            </w:r>
          </w:p>
        </w:tc>
        <w:tc>
          <w:tcPr>
            <w:tcW w:w="1413" w:type="pct"/>
            <w:shd w:val="clear" w:color="auto" w:fill="auto"/>
            <w:noWrap w:val="0"/>
            <w:vAlign w:val="center"/>
          </w:tcPr>
          <w:p w14:paraId="25B4CD00">
            <w:pPr>
              <w:pStyle w:val="10"/>
              <w:keepNext w:val="0"/>
              <w:keepLines w:val="0"/>
              <w:pageBreakBefore w:val="0"/>
              <w:widowControl/>
              <w:kinsoku w:val="0"/>
              <w:wordWrap/>
              <w:overflowPunct/>
              <w:topLinePunct w:val="0"/>
              <w:autoSpaceDE w:val="0"/>
              <w:autoSpaceDN w:val="0"/>
              <w:bidi w:val="0"/>
              <w:adjustRightInd w:val="0"/>
              <w:snapToGrid/>
              <w:spacing w:before="0" w:after="0" w:line="240" w:lineRule="auto"/>
              <w:ind w:left="0" w:leftChars="0" w:right="0" w:rightChars="0" w:firstLine="0" w:firstLineChars="0"/>
              <w:jc w:val="both"/>
              <w:textAlignment w:val="auto"/>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12"/>
                <w:sz w:val="21"/>
                <w:szCs w:val="21"/>
                <w:highlight w:val="none"/>
              </w:rPr>
              <w:t>水泵、阀门、防火卷帘</w:t>
            </w:r>
            <w:r>
              <w:rPr>
                <w:rFonts w:hint="eastAsia" w:ascii="仿宋" w:hAnsi="仿宋" w:eastAsia="仿宋" w:cs="仿宋"/>
                <w:color w:val="auto"/>
                <w:spacing w:val="-25"/>
                <w:sz w:val="21"/>
                <w:szCs w:val="21"/>
                <w:highlight w:val="none"/>
              </w:rPr>
              <w:t>门、防火门，疏散通道、</w:t>
            </w:r>
            <w:r>
              <w:rPr>
                <w:rFonts w:hint="eastAsia" w:ascii="仿宋" w:hAnsi="仿宋" w:eastAsia="仿宋" w:cs="仿宋"/>
                <w:color w:val="auto"/>
                <w:spacing w:val="-2"/>
                <w:sz w:val="21"/>
                <w:szCs w:val="21"/>
                <w:highlight w:val="none"/>
              </w:rPr>
              <w:t>应急通道等</w:t>
            </w:r>
          </w:p>
        </w:tc>
        <w:tc>
          <w:tcPr>
            <w:tcW w:w="482" w:type="pct"/>
            <w:shd w:val="clear" w:color="auto" w:fill="auto"/>
            <w:noWrap w:val="0"/>
            <w:vAlign w:val="center"/>
          </w:tcPr>
          <w:p w14:paraId="680D2A4B">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1"/>
                <w:szCs w:val="21"/>
                <w:highlight w:val="none"/>
              </w:rPr>
            </w:pPr>
          </w:p>
          <w:p w14:paraId="4BE53815">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shd w:val="clear" w:color="auto" w:fill="auto"/>
            <w:noWrap w:val="0"/>
            <w:vAlign w:val="center"/>
          </w:tcPr>
          <w:p w14:paraId="6AAD7D2A">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noWrap w:val="0"/>
            <w:vAlign w:val="center"/>
          </w:tcPr>
          <w:p w14:paraId="108EEF4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6795A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exact"/>
          <w:jc w:val="center"/>
        </w:trPr>
        <w:tc>
          <w:tcPr>
            <w:tcW w:w="370" w:type="pct"/>
            <w:tcBorders>
              <w:top w:val="single" w:color="auto" w:sz="4" w:space="0"/>
              <w:bottom w:val="nil"/>
            </w:tcBorders>
            <w:shd w:val="clear" w:color="auto" w:fill="auto"/>
            <w:noWrap w:val="0"/>
            <w:vAlign w:val="center"/>
          </w:tcPr>
          <w:p w14:paraId="7861C38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4"/>
                <w:kern w:val="2"/>
                <w:sz w:val="21"/>
                <w:szCs w:val="21"/>
                <w:highlight w:val="none"/>
                <w:lang w:val="en-US" w:eastAsia="zh-CN" w:bidi="ar-SA"/>
              </w:rPr>
            </w:pPr>
            <w:r>
              <w:rPr>
                <w:rFonts w:hint="eastAsia" w:ascii="仿宋" w:hAnsi="仿宋" w:eastAsia="仿宋" w:cs="仿宋"/>
                <w:color w:val="auto"/>
                <w:spacing w:val="-4"/>
                <w:sz w:val="21"/>
                <w:szCs w:val="21"/>
                <w:highlight w:val="none"/>
              </w:rPr>
              <w:t>4</w:t>
            </w:r>
          </w:p>
        </w:tc>
        <w:tc>
          <w:tcPr>
            <w:tcW w:w="444" w:type="pct"/>
            <w:vMerge w:val="restart"/>
            <w:tcBorders>
              <w:top w:val="single" w:color="auto" w:sz="4" w:space="0"/>
            </w:tcBorders>
            <w:shd w:val="clear" w:color="auto" w:fill="auto"/>
            <w:noWrap w:val="0"/>
            <w:vAlign w:val="center"/>
          </w:tcPr>
          <w:p w14:paraId="6CF32A7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sz w:val="21"/>
                <w:szCs w:val="21"/>
                <w:highlight w:val="none"/>
              </w:rPr>
            </w:pPr>
            <w:r>
              <w:rPr>
                <w:rFonts w:hint="eastAsia" w:ascii="仿宋" w:hAnsi="仿宋" w:eastAsia="仿宋" w:cs="仿宋"/>
                <w:color w:val="auto"/>
                <w:spacing w:val="-3"/>
                <w:sz w:val="21"/>
                <w:szCs w:val="21"/>
                <w:highlight w:val="none"/>
              </w:rPr>
              <w:t>装饰</w:t>
            </w:r>
          </w:p>
          <w:p w14:paraId="00E15A8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装修</w:t>
            </w:r>
          </w:p>
        </w:tc>
        <w:tc>
          <w:tcPr>
            <w:tcW w:w="686" w:type="pct"/>
            <w:tcBorders>
              <w:top w:val="single" w:color="auto" w:sz="4" w:space="0"/>
              <w:bottom w:val="single" w:color="auto" w:sz="4" w:space="0"/>
            </w:tcBorders>
            <w:shd w:val="clear" w:color="auto" w:fill="auto"/>
            <w:noWrap w:val="0"/>
            <w:vAlign w:val="center"/>
          </w:tcPr>
          <w:p w14:paraId="27A7AB3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装修设计</w:t>
            </w:r>
          </w:p>
        </w:tc>
        <w:tc>
          <w:tcPr>
            <w:tcW w:w="1413" w:type="pct"/>
            <w:tcBorders>
              <w:bottom w:val="single" w:color="auto" w:sz="4" w:space="0"/>
            </w:tcBorders>
            <w:shd w:val="clear" w:color="auto" w:fill="auto"/>
            <w:noWrap w:val="0"/>
            <w:vAlign w:val="center"/>
          </w:tcPr>
          <w:p w14:paraId="5EA885E9">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按照入住单位要求进行装修设计、施工</w:t>
            </w:r>
          </w:p>
        </w:tc>
        <w:tc>
          <w:tcPr>
            <w:tcW w:w="482" w:type="pct"/>
            <w:shd w:val="clear" w:color="auto" w:fill="auto"/>
            <w:noWrap w:val="0"/>
            <w:vAlign w:val="center"/>
          </w:tcPr>
          <w:p w14:paraId="20763532">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shd w:val="clear" w:color="auto" w:fill="auto"/>
            <w:noWrap w:val="0"/>
            <w:vAlign w:val="center"/>
          </w:tcPr>
          <w:p w14:paraId="2C1D78F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shd w:val="clear" w:color="auto" w:fill="auto"/>
            <w:noWrap w:val="0"/>
            <w:vAlign w:val="top"/>
          </w:tcPr>
          <w:p w14:paraId="0371541A">
            <w:pPr>
              <w:keepNext w:val="0"/>
              <w:keepLines w:val="0"/>
              <w:pageBreakBefore w:val="0"/>
              <w:kinsoku w:val="0"/>
              <w:wordWrap/>
              <w:overflowPunct/>
              <w:bidi w:val="0"/>
              <w:spacing w:line="240" w:lineRule="auto"/>
              <w:ind w:left="0" w:leftChars="0" w:right="0" w:rightChars="0" w:firstLine="0" w:firstLineChars="0"/>
              <w:rPr>
                <w:rFonts w:hint="eastAsia" w:ascii="仿宋" w:hAnsi="仿宋" w:eastAsia="仿宋" w:cs="仿宋"/>
                <w:color w:val="auto"/>
                <w:kern w:val="2"/>
                <w:sz w:val="21"/>
                <w:szCs w:val="21"/>
                <w:highlight w:val="none"/>
                <w:lang w:val="en-US" w:eastAsia="zh-CN" w:bidi="ar-SA"/>
              </w:rPr>
            </w:pPr>
          </w:p>
        </w:tc>
      </w:tr>
      <w:tr w14:paraId="3BF0E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jc w:val="center"/>
        </w:trPr>
        <w:tc>
          <w:tcPr>
            <w:tcW w:w="370" w:type="pct"/>
            <w:tcBorders>
              <w:top w:val="nil"/>
              <w:bottom w:val="single" w:color="auto" w:sz="4" w:space="0"/>
            </w:tcBorders>
            <w:noWrap w:val="0"/>
            <w:vAlign w:val="center"/>
          </w:tcPr>
          <w:p w14:paraId="37D6CF6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c>
          <w:tcPr>
            <w:tcW w:w="444" w:type="pct"/>
            <w:vMerge w:val="continue"/>
            <w:tcBorders>
              <w:bottom w:val="single" w:color="auto" w:sz="4" w:space="0"/>
            </w:tcBorders>
            <w:shd w:val="clear" w:color="auto" w:fill="auto"/>
            <w:noWrap w:val="0"/>
            <w:vAlign w:val="center"/>
          </w:tcPr>
          <w:p w14:paraId="1D3ADA2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both"/>
              <w:textAlignment w:val="baseline"/>
              <w:rPr>
                <w:rFonts w:hint="eastAsia" w:ascii="仿宋" w:hAnsi="仿宋" w:eastAsia="仿宋" w:cs="仿宋"/>
                <w:color w:val="auto"/>
                <w:spacing w:val="-3"/>
                <w:kern w:val="2"/>
                <w:sz w:val="21"/>
                <w:szCs w:val="21"/>
                <w:highlight w:val="none"/>
                <w:lang w:val="en-US" w:eastAsia="zh-CN" w:bidi="ar-SA"/>
              </w:rPr>
            </w:pPr>
          </w:p>
        </w:tc>
        <w:tc>
          <w:tcPr>
            <w:tcW w:w="686" w:type="pct"/>
            <w:tcBorders>
              <w:top w:val="single" w:color="auto" w:sz="4" w:space="0"/>
              <w:bottom w:val="single" w:color="auto" w:sz="4" w:space="0"/>
            </w:tcBorders>
            <w:shd w:val="clear" w:color="auto" w:fill="auto"/>
            <w:noWrap w:val="0"/>
            <w:vAlign w:val="center"/>
          </w:tcPr>
          <w:p w14:paraId="427587B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center"/>
              <w:textAlignment w:val="baseline"/>
              <w:rPr>
                <w:rFonts w:hint="eastAsia" w:ascii="仿宋" w:hAnsi="仿宋" w:eastAsia="仿宋" w:cs="仿宋"/>
                <w:color w:val="auto"/>
                <w:spacing w:val="-3"/>
                <w:kern w:val="2"/>
                <w:sz w:val="21"/>
                <w:szCs w:val="21"/>
                <w:highlight w:val="none"/>
                <w:lang w:val="en-US" w:eastAsia="zh-CN" w:bidi="ar-SA"/>
              </w:rPr>
            </w:pPr>
            <w:r>
              <w:rPr>
                <w:rFonts w:hint="eastAsia" w:ascii="仿宋" w:hAnsi="仿宋" w:eastAsia="仿宋" w:cs="仿宋"/>
                <w:color w:val="auto"/>
                <w:spacing w:val="-3"/>
                <w:sz w:val="21"/>
                <w:szCs w:val="21"/>
                <w:highlight w:val="none"/>
              </w:rPr>
              <w:t>装修质量</w:t>
            </w:r>
          </w:p>
        </w:tc>
        <w:tc>
          <w:tcPr>
            <w:tcW w:w="1413" w:type="pct"/>
            <w:tcBorders>
              <w:top w:val="single" w:color="auto" w:sz="4" w:space="0"/>
            </w:tcBorders>
            <w:shd w:val="clear" w:color="auto" w:fill="auto"/>
            <w:noWrap w:val="0"/>
            <w:vAlign w:val="center"/>
          </w:tcPr>
          <w:p w14:paraId="423266BE">
            <w:pPr>
              <w:keepNext w:val="0"/>
              <w:keepLines w:val="0"/>
              <w:pageBreakBefore w:val="0"/>
              <w:kinsoku w:val="0"/>
              <w:wordWrap/>
              <w:overflowPunct/>
              <w:bidi w:val="0"/>
              <w:spacing w:line="240" w:lineRule="auto"/>
              <w:ind w:left="0" w:right="0" w:firstLine="0" w:firstLineChars="0"/>
              <w:jc w:val="both"/>
              <w:rPr>
                <w:rFonts w:hint="eastAsia" w:ascii="仿宋" w:hAnsi="仿宋" w:eastAsia="仿宋" w:cs="仿宋"/>
                <w:color w:val="auto"/>
                <w:sz w:val="21"/>
                <w:szCs w:val="21"/>
                <w:highlight w:val="none"/>
              </w:rPr>
            </w:pPr>
          </w:p>
          <w:p w14:paraId="59112A0A">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11"/>
                <w:sz w:val="21"/>
                <w:szCs w:val="21"/>
                <w:highlight w:val="none"/>
              </w:rPr>
              <w:t>装修质量良好、使用材</w:t>
            </w:r>
            <w:r>
              <w:rPr>
                <w:rFonts w:hint="eastAsia" w:ascii="仿宋" w:hAnsi="仿宋" w:eastAsia="仿宋" w:cs="仿宋"/>
                <w:color w:val="auto"/>
                <w:spacing w:val="-2"/>
                <w:sz w:val="21"/>
                <w:szCs w:val="21"/>
                <w:highlight w:val="none"/>
              </w:rPr>
              <w:t>料符合相关规定</w:t>
            </w:r>
          </w:p>
        </w:tc>
        <w:tc>
          <w:tcPr>
            <w:tcW w:w="482" w:type="pct"/>
            <w:shd w:val="clear" w:color="auto" w:fill="auto"/>
            <w:noWrap w:val="0"/>
            <w:vAlign w:val="center"/>
          </w:tcPr>
          <w:p w14:paraId="567F1D42">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1"/>
                <w:szCs w:val="21"/>
                <w:highlight w:val="none"/>
              </w:rPr>
            </w:pPr>
          </w:p>
          <w:p w14:paraId="7CA82B05">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1"/>
                <w:szCs w:val="21"/>
                <w:highlight w:val="none"/>
              </w:rPr>
            </w:pPr>
          </w:p>
          <w:p w14:paraId="1DB30BB9">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shd w:val="clear" w:color="auto" w:fill="auto"/>
            <w:noWrap w:val="0"/>
            <w:vAlign w:val="center"/>
          </w:tcPr>
          <w:p w14:paraId="10FA8A7C">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现场考核、查</w:t>
            </w:r>
          </w:p>
          <w:p w14:paraId="7B79C81E">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看装修施工资</w:t>
            </w:r>
          </w:p>
          <w:p w14:paraId="5DEA5618">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料、装修所用</w:t>
            </w:r>
          </w:p>
          <w:p w14:paraId="7211342D">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产品质检报告</w:t>
            </w:r>
          </w:p>
          <w:p w14:paraId="72C0D9FD">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及合格证</w:t>
            </w:r>
          </w:p>
        </w:tc>
        <w:tc>
          <w:tcPr>
            <w:tcW w:w="675" w:type="pct"/>
            <w:shd w:val="clear" w:color="auto" w:fill="auto"/>
            <w:noWrap w:val="0"/>
            <w:vAlign w:val="top"/>
          </w:tcPr>
          <w:p w14:paraId="3432A119">
            <w:pPr>
              <w:keepNext w:val="0"/>
              <w:keepLines w:val="0"/>
              <w:pageBreakBefore w:val="0"/>
              <w:kinsoku w:val="0"/>
              <w:wordWrap/>
              <w:overflowPunct/>
              <w:bidi w:val="0"/>
              <w:spacing w:line="240" w:lineRule="auto"/>
              <w:ind w:left="0" w:leftChars="0" w:right="0" w:rightChars="0" w:firstLine="0" w:firstLineChars="0"/>
              <w:rPr>
                <w:rFonts w:hint="eastAsia" w:ascii="仿宋" w:hAnsi="仿宋" w:eastAsia="仿宋" w:cs="仿宋"/>
                <w:color w:val="auto"/>
                <w:kern w:val="2"/>
                <w:sz w:val="21"/>
                <w:szCs w:val="21"/>
                <w:highlight w:val="none"/>
                <w:lang w:val="en-US" w:eastAsia="zh-CN" w:bidi="ar-SA"/>
              </w:rPr>
            </w:pPr>
          </w:p>
        </w:tc>
      </w:tr>
      <w:tr w14:paraId="426B8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jc w:val="center"/>
        </w:trPr>
        <w:tc>
          <w:tcPr>
            <w:tcW w:w="370" w:type="pct"/>
            <w:tcBorders>
              <w:top w:val="single" w:color="auto" w:sz="4" w:space="0"/>
              <w:bottom w:val="single" w:color="auto" w:sz="4" w:space="0"/>
            </w:tcBorders>
            <w:shd w:val="clear" w:color="auto" w:fill="auto"/>
            <w:noWrap w:val="0"/>
            <w:vAlign w:val="center"/>
          </w:tcPr>
          <w:p w14:paraId="05C7A70A">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5</w:t>
            </w:r>
          </w:p>
        </w:tc>
        <w:tc>
          <w:tcPr>
            <w:tcW w:w="1130" w:type="pct"/>
            <w:gridSpan w:val="2"/>
            <w:tcBorders>
              <w:top w:val="single" w:color="auto" w:sz="4" w:space="0"/>
              <w:bottom w:val="single" w:color="auto" w:sz="4" w:space="0"/>
            </w:tcBorders>
            <w:shd w:val="clear" w:color="auto" w:fill="auto"/>
            <w:noWrap w:val="0"/>
            <w:vAlign w:val="center"/>
          </w:tcPr>
          <w:p w14:paraId="1FA71A65">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家具配备</w:t>
            </w:r>
          </w:p>
        </w:tc>
        <w:tc>
          <w:tcPr>
            <w:tcW w:w="1413" w:type="pct"/>
            <w:tcBorders>
              <w:bottom w:val="single" w:color="auto" w:sz="4" w:space="0"/>
            </w:tcBorders>
            <w:shd w:val="clear" w:color="auto" w:fill="auto"/>
            <w:noWrap w:val="0"/>
            <w:vAlign w:val="center"/>
          </w:tcPr>
          <w:p w14:paraId="555E153F">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按照入住单位需求配</w:t>
            </w:r>
            <w:r>
              <w:rPr>
                <w:rFonts w:hint="eastAsia" w:ascii="仿宋" w:hAnsi="仿宋" w:eastAsia="仿宋" w:cs="仿宋"/>
                <w:color w:val="auto"/>
                <w:spacing w:val="-11"/>
                <w:sz w:val="21"/>
                <w:szCs w:val="21"/>
                <w:highlight w:val="none"/>
              </w:rPr>
              <w:t>备家具，并能及时对损</w:t>
            </w:r>
            <w:r>
              <w:rPr>
                <w:rFonts w:hint="eastAsia" w:ascii="仿宋" w:hAnsi="仿宋" w:eastAsia="仿宋" w:cs="仿宋"/>
                <w:color w:val="auto"/>
                <w:spacing w:val="-2"/>
                <w:sz w:val="21"/>
                <w:szCs w:val="21"/>
                <w:highlight w:val="none"/>
              </w:rPr>
              <w:t>坏家具进行维修</w:t>
            </w:r>
          </w:p>
        </w:tc>
        <w:tc>
          <w:tcPr>
            <w:tcW w:w="482" w:type="pct"/>
            <w:shd w:val="clear" w:color="auto" w:fill="auto"/>
            <w:noWrap w:val="0"/>
            <w:vAlign w:val="center"/>
          </w:tcPr>
          <w:p w14:paraId="1D30D49A">
            <w:pPr>
              <w:pStyle w:val="10"/>
              <w:keepNext w:val="0"/>
              <w:keepLines w:val="0"/>
              <w:pageBreakBefore w:val="0"/>
              <w:kinsoku w:val="0"/>
              <w:wordWrap/>
              <w:overflowPunct/>
              <w:bidi w:val="0"/>
              <w:spacing w:line="240" w:lineRule="auto"/>
              <w:ind w:left="0" w:right="0" w:firstLine="0" w:firstLineChars="0"/>
              <w:jc w:val="center"/>
              <w:rPr>
                <w:rFonts w:hint="eastAsia" w:ascii="仿宋" w:hAnsi="仿宋" w:eastAsia="仿宋" w:cs="仿宋"/>
                <w:color w:val="auto"/>
                <w:spacing w:val="-2"/>
                <w:sz w:val="21"/>
                <w:szCs w:val="21"/>
                <w:highlight w:val="none"/>
              </w:rPr>
            </w:pPr>
          </w:p>
          <w:p w14:paraId="7A34B00D">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2</w:t>
            </w:r>
          </w:p>
        </w:tc>
        <w:tc>
          <w:tcPr>
            <w:tcW w:w="928" w:type="pct"/>
            <w:shd w:val="clear" w:color="auto" w:fill="auto"/>
            <w:noWrap w:val="0"/>
            <w:vAlign w:val="center"/>
          </w:tcPr>
          <w:p w14:paraId="64D360E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sz w:val="21"/>
                <w:szCs w:val="21"/>
                <w:highlight w:val="none"/>
              </w:rPr>
            </w:pPr>
            <w:r>
              <w:rPr>
                <w:rFonts w:hint="eastAsia" w:ascii="仿宋" w:hAnsi="仿宋" w:eastAsia="仿宋" w:cs="仿宋"/>
                <w:color w:val="auto"/>
                <w:spacing w:val="-2"/>
                <w:sz w:val="21"/>
                <w:szCs w:val="21"/>
                <w:highlight w:val="none"/>
              </w:rPr>
              <w:t>现场考核、查</w:t>
            </w:r>
          </w:p>
          <w:p w14:paraId="6AA47E97">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2"/>
                <w:sz w:val="21"/>
                <w:szCs w:val="21"/>
                <w:highlight w:val="none"/>
              </w:rPr>
              <w:t>看维修记录</w:t>
            </w:r>
          </w:p>
        </w:tc>
        <w:tc>
          <w:tcPr>
            <w:tcW w:w="675" w:type="pct"/>
            <w:noWrap w:val="0"/>
            <w:vAlign w:val="center"/>
          </w:tcPr>
          <w:p w14:paraId="0B9D23D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7FE38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jc w:val="center"/>
        </w:trPr>
        <w:tc>
          <w:tcPr>
            <w:tcW w:w="370" w:type="pct"/>
            <w:tcBorders>
              <w:top w:val="single" w:color="auto" w:sz="4" w:space="0"/>
              <w:bottom w:val="single" w:color="auto" w:sz="4" w:space="0"/>
            </w:tcBorders>
            <w:shd w:val="clear" w:color="auto" w:fill="auto"/>
            <w:noWrap w:val="0"/>
            <w:vAlign w:val="center"/>
          </w:tcPr>
          <w:p w14:paraId="7B669DF7">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rPr>
              <w:t>6</w:t>
            </w:r>
          </w:p>
        </w:tc>
        <w:tc>
          <w:tcPr>
            <w:tcW w:w="1130" w:type="pct"/>
            <w:gridSpan w:val="2"/>
            <w:tcBorders>
              <w:top w:val="single" w:color="auto" w:sz="4" w:space="0"/>
              <w:bottom w:val="single" w:color="auto" w:sz="4" w:space="0"/>
            </w:tcBorders>
            <w:shd w:val="clear" w:color="auto" w:fill="auto"/>
            <w:noWrap w:val="0"/>
            <w:vAlign w:val="center"/>
          </w:tcPr>
          <w:p w14:paraId="531A14F8">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照明设施</w:t>
            </w:r>
          </w:p>
        </w:tc>
        <w:tc>
          <w:tcPr>
            <w:tcW w:w="1413" w:type="pct"/>
            <w:tcBorders>
              <w:top w:val="single" w:color="auto" w:sz="4" w:space="0"/>
              <w:bottom w:val="single" w:color="auto" w:sz="4" w:space="0"/>
            </w:tcBorders>
            <w:shd w:val="clear" w:color="auto" w:fill="auto"/>
            <w:noWrap w:val="0"/>
            <w:vAlign w:val="center"/>
          </w:tcPr>
          <w:p w14:paraId="672399CF">
            <w:pPr>
              <w:pStyle w:val="10"/>
              <w:keepNext w:val="0"/>
              <w:keepLines w:val="0"/>
              <w:pageBreakBefore w:val="0"/>
              <w:kinsoku w:val="0"/>
              <w:wordWrap/>
              <w:overflowPunct/>
              <w:bidi w:val="0"/>
              <w:spacing w:line="240" w:lineRule="auto"/>
              <w:ind w:left="0" w:leftChars="0" w:right="0" w:rightChars="0" w:firstLine="0" w:firstLineChars="0"/>
              <w:jc w:val="both"/>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租赁区内照明设施完</w:t>
            </w:r>
            <w:r>
              <w:rPr>
                <w:rFonts w:hint="eastAsia" w:ascii="仿宋" w:hAnsi="仿宋" w:eastAsia="仿宋" w:cs="仿宋"/>
                <w:color w:val="auto"/>
                <w:spacing w:val="-3"/>
                <w:sz w:val="21"/>
                <w:szCs w:val="21"/>
                <w:highlight w:val="none"/>
              </w:rPr>
              <w:t>好率不低于</w:t>
            </w:r>
            <w:r>
              <w:rPr>
                <w:rFonts w:hint="eastAsia" w:ascii="仿宋" w:hAnsi="仿宋" w:eastAsia="仿宋" w:cs="仿宋"/>
                <w:color w:val="auto"/>
                <w:spacing w:val="-47"/>
                <w:sz w:val="21"/>
                <w:szCs w:val="21"/>
                <w:highlight w:val="none"/>
              </w:rPr>
              <w:t xml:space="preserve"> </w:t>
            </w:r>
            <w:r>
              <w:rPr>
                <w:rFonts w:hint="eastAsia" w:ascii="仿宋" w:hAnsi="仿宋" w:eastAsia="仿宋" w:cs="仿宋"/>
                <w:color w:val="auto"/>
                <w:spacing w:val="-3"/>
                <w:sz w:val="21"/>
                <w:szCs w:val="21"/>
                <w:highlight w:val="none"/>
              </w:rPr>
              <w:t>95%</w:t>
            </w:r>
          </w:p>
        </w:tc>
        <w:tc>
          <w:tcPr>
            <w:tcW w:w="482" w:type="pct"/>
            <w:tcBorders>
              <w:bottom w:val="single" w:color="auto" w:sz="4" w:space="0"/>
            </w:tcBorders>
            <w:shd w:val="clear" w:color="auto" w:fill="auto"/>
            <w:noWrap w:val="0"/>
            <w:vAlign w:val="center"/>
          </w:tcPr>
          <w:p w14:paraId="4691DB7C">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spacing w:val="-2"/>
                <w:kern w:val="2"/>
                <w:sz w:val="21"/>
                <w:szCs w:val="21"/>
                <w:highlight w:val="none"/>
                <w:lang w:val="en-US" w:eastAsia="zh-CN" w:bidi="ar-SA"/>
              </w:rPr>
            </w:pPr>
            <w:r>
              <w:rPr>
                <w:rFonts w:hint="eastAsia" w:ascii="仿宋" w:hAnsi="仿宋" w:eastAsia="仿宋" w:cs="仿宋"/>
                <w:color w:val="auto"/>
                <w:spacing w:val="-2"/>
                <w:sz w:val="21"/>
                <w:szCs w:val="21"/>
                <w:highlight w:val="none"/>
              </w:rPr>
              <w:t>4</w:t>
            </w:r>
          </w:p>
        </w:tc>
        <w:tc>
          <w:tcPr>
            <w:tcW w:w="928" w:type="pct"/>
            <w:tcBorders>
              <w:bottom w:val="single" w:color="auto" w:sz="4" w:space="0"/>
            </w:tcBorders>
            <w:shd w:val="clear" w:color="auto" w:fill="auto"/>
            <w:noWrap w:val="0"/>
            <w:vAlign w:val="center"/>
          </w:tcPr>
          <w:p w14:paraId="0DF3B5E1">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pacing w:val="-3"/>
                <w:sz w:val="21"/>
                <w:szCs w:val="21"/>
                <w:highlight w:val="none"/>
              </w:rPr>
              <w:t>现场考核</w:t>
            </w:r>
          </w:p>
        </w:tc>
        <w:tc>
          <w:tcPr>
            <w:tcW w:w="675" w:type="pct"/>
            <w:tcBorders>
              <w:bottom w:val="single" w:color="auto" w:sz="4" w:space="0"/>
            </w:tcBorders>
            <w:noWrap w:val="0"/>
            <w:vAlign w:val="center"/>
          </w:tcPr>
          <w:p w14:paraId="049BBD5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p>
        </w:tc>
      </w:tr>
      <w:tr w14:paraId="119BB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7" w:hRule="atLeast"/>
          <w:jc w:val="center"/>
        </w:trPr>
        <w:tc>
          <w:tcPr>
            <w:tcW w:w="814" w:type="pct"/>
            <w:gridSpan w:val="2"/>
            <w:tcBorders>
              <w:top w:val="single" w:color="auto" w:sz="4" w:space="0"/>
              <w:bottom w:val="single" w:color="auto" w:sz="4" w:space="0"/>
            </w:tcBorders>
            <w:shd w:val="clear" w:color="auto" w:fill="auto"/>
            <w:noWrap w:val="0"/>
            <w:vAlign w:val="center"/>
          </w:tcPr>
          <w:p w14:paraId="34CED38C">
            <w:pPr>
              <w:pStyle w:val="10"/>
              <w:keepNext w:val="0"/>
              <w:keepLines w:val="0"/>
              <w:pageBreakBefore w:val="0"/>
              <w:kinsoku w:val="0"/>
              <w:wordWrap/>
              <w:overflowPunct/>
              <w:bidi w:val="0"/>
              <w:spacing w:line="240" w:lineRule="auto"/>
              <w:ind w:left="0" w:leftChars="0" w:right="0" w:rightChars="0" w:firstLine="0" w:firstLineChars="0"/>
              <w:jc w:val="center"/>
              <w:rPr>
                <w:rFonts w:hint="eastAsia" w:ascii="仿宋" w:hAnsi="仿宋" w:eastAsia="仿宋" w:cs="仿宋"/>
                <w:snapToGrid w:val="0"/>
                <w:color w:val="auto"/>
                <w:spacing w:val="-11"/>
                <w:kern w:val="0"/>
                <w:sz w:val="21"/>
                <w:szCs w:val="21"/>
                <w:highlight w:val="none"/>
                <w:lang w:val="en-US" w:eastAsia="zh-CN" w:bidi="ar-SA"/>
              </w:rPr>
            </w:pPr>
            <w:r>
              <w:rPr>
                <w:rFonts w:hint="eastAsia" w:ascii="仿宋" w:hAnsi="仿宋" w:eastAsia="仿宋" w:cs="仿宋"/>
                <w:b/>
                <w:bCs/>
                <w:snapToGrid w:val="0"/>
                <w:color w:val="auto"/>
                <w:spacing w:val="-11"/>
                <w:kern w:val="0"/>
                <w:sz w:val="21"/>
                <w:szCs w:val="21"/>
                <w:highlight w:val="none"/>
                <w:lang w:val="en-US" w:eastAsia="zh-CN" w:bidi="ar-SA"/>
              </w:rPr>
              <w:t>备  注</w:t>
            </w:r>
          </w:p>
          <w:p w14:paraId="63197689">
            <w:pPr>
              <w:pStyle w:val="2"/>
              <w:ind w:left="0" w:leftChars="0" w:firstLine="422" w:firstLineChars="200"/>
              <w:jc w:val="both"/>
              <w:rPr>
                <w:rFonts w:hint="eastAsia" w:asciiTheme="minorHAnsi" w:hAnsiTheme="minorHAnsi" w:eastAsiaTheme="minorEastAsia" w:cstheme="minorBidi"/>
                <w:kern w:val="2"/>
                <w:sz w:val="21"/>
                <w:szCs w:val="21"/>
                <w:highlight w:val="none"/>
                <w:lang w:val="en-US" w:eastAsia="zh-CN" w:bidi="ar-SA"/>
              </w:rPr>
            </w:pPr>
            <w:r>
              <w:rPr>
                <w:rFonts w:hint="eastAsia"/>
                <w:b/>
                <w:bCs/>
                <w:sz w:val="21"/>
                <w:szCs w:val="21"/>
                <w:highlight w:val="none"/>
                <w:lang w:val="en-US" w:eastAsia="zh-CN"/>
              </w:rPr>
              <w:tab/>
            </w:r>
          </w:p>
        </w:tc>
        <w:tc>
          <w:tcPr>
            <w:tcW w:w="4185" w:type="pct"/>
            <w:gridSpan w:val="5"/>
            <w:tcBorders>
              <w:top w:val="single" w:color="auto" w:sz="4" w:space="0"/>
              <w:bottom w:val="single" w:color="auto" w:sz="4" w:space="0"/>
            </w:tcBorders>
            <w:noWrap w:val="0"/>
            <w:vAlign w:val="center"/>
          </w:tcPr>
          <w:p w14:paraId="65382F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仿宋" w:hAnsi="仿宋" w:eastAsia="仿宋" w:cs="仿宋"/>
                <w:b/>
                <w:bCs/>
                <w:snapToGrid w:val="0"/>
                <w:color w:val="auto"/>
                <w:spacing w:val="-11"/>
                <w:kern w:val="0"/>
                <w:sz w:val="21"/>
                <w:szCs w:val="21"/>
                <w:highlight w:val="none"/>
                <w:lang w:val="en-US" w:eastAsia="zh-CN" w:bidi="ar-SA"/>
              </w:rPr>
            </w:pPr>
            <w:r>
              <w:rPr>
                <w:rFonts w:hint="eastAsia" w:ascii="仿宋" w:hAnsi="仿宋" w:eastAsia="仿宋" w:cs="仿宋"/>
                <w:b/>
                <w:bCs/>
                <w:snapToGrid w:val="0"/>
                <w:color w:val="auto"/>
                <w:spacing w:val="-11"/>
                <w:kern w:val="0"/>
                <w:sz w:val="21"/>
                <w:szCs w:val="21"/>
                <w:highlight w:val="none"/>
                <w:lang w:val="en-US" w:eastAsia="zh-CN" w:bidi="ar-SA"/>
              </w:rPr>
              <w:t>扣分及执行标准：</w:t>
            </w:r>
          </w:p>
          <w:p w14:paraId="25C8D9D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color w:val="auto"/>
                <w:sz w:val="21"/>
                <w:szCs w:val="21"/>
                <w:highlight w:val="none"/>
              </w:rPr>
            </w:pPr>
            <w:r>
              <w:rPr>
                <w:rFonts w:hint="eastAsia" w:ascii="仿宋" w:hAnsi="仿宋" w:eastAsia="仿宋" w:cs="仿宋"/>
                <w:b/>
                <w:bCs/>
                <w:snapToGrid w:val="0"/>
                <w:color w:val="auto"/>
                <w:spacing w:val="-11"/>
                <w:kern w:val="0"/>
                <w:sz w:val="21"/>
                <w:szCs w:val="21"/>
                <w:highlight w:val="none"/>
                <w:lang w:val="en-US" w:eastAsia="zh-CN" w:bidi="ar-SA"/>
              </w:rPr>
              <w:t>考核扣分执行标准采用递增方式：①考核扣费0-2分，每分扣除当前服务周期租赁费用的0.5‰考核金；②考核扣费0-5分，0-2分每分扣除当前服务周期租赁费用的0.5‰考核金，3-5分每分扣除当前服务周期租赁费用的1‰考核金，两项费用相加即为需扣除的考核金；③考核扣费0-10分，0-2分每分扣除当前服务周期租赁费用的0.5‰考核金，3-5分每分扣除当前服务周期租赁费用的1‰考核金，6-10分每分扣除当前服务周期租赁费用的2‰考核金，三项费用相加即为需扣除的考核金；④考核扣费0-20分，0-2分每分扣除当前服务周期租赁费用的0.5‰考核金，3-5分每分扣除当前服务周期租赁费用的1‰考核金，6-10分每分扣除当前服务周期租赁费用的2‰考核金，11-20分每分扣除当前服务周期租赁费用的5‰考核金，四项费用相加即为需扣除的考核金；⑤考核扣费0-21分以上，0-2分每分扣除当前服务周期租赁费用的0.5‰考核金，3-5分每分扣除当前服务周期租赁费用的1‰考核金，6-10分每分扣除当前服务周期租赁费用的2‰考核金，11-20分每分扣除当前服务周期租赁费用的5‰考核金，20分以上每分扣除当前服务周期租赁费用的1%</w:t>
            </w:r>
            <w:bookmarkStart w:id="0" w:name="_GoBack"/>
            <w:bookmarkEnd w:id="0"/>
            <w:r>
              <w:rPr>
                <w:rFonts w:hint="eastAsia" w:ascii="仿宋" w:hAnsi="仿宋" w:eastAsia="仿宋" w:cs="仿宋"/>
                <w:b/>
                <w:bCs/>
                <w:snapToGrid w:val="0"/>
                <w:color w:val="auto"/>
                <w:spacing w:val="-11"/>
                <w:kern w:val="0"/>
                <w:sz w:val="21"/>
                <w:szCs w:val="21"/>
                <w:highlight w:val="none"/>
                <w:lang w:val="en-US" w:eastAsia="zh-CN" w:bidi="ar-SA"/>
              </w:rPr>
              <w:t>考核金，五项费用相加即为需扣除的考核金。</w:t>
            </w:r>
          </w:p>
        </w:tc>
      </w:tr>
    </w:tbl>
    <w:p w14:paraId="5A1C60A0">
      <w:pPr>
        <w:pStyle w:val="2"/>
        <w:ind w:left="0" w:leftChars="0" w:firstLine="0" w:firstLineChars="0"/>
        <w:rPr>
          <w:rFonts w:hint="eastAsia"/>
          <w:highlight w:val="none"/>
          <w:lang w:val="en-US" w:eastAsia="zh-Hans"/>
        </w:rPr>
      </w:pPr>
    </w:p>
    <w:p w14:paraId="56B8D77B">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3A7AE4"/>
    <w:rsid w:val="290E610B"/>
    <w:rsid w:val="42CE0C5D"/>
    <w:rsid w:val="49D2300F"/>
    <w:rsid w:val="4A1C158F"/>
    <w:rsid w:val="5C9A2845"/>
    <w:rsid w:val="633A7AE4"/>
    <w:rsid w:val="7CCE2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rPr>
  </w:style>
  <w:style w:type="paragraph" w:styleId="3">
    <w:name w:val="Body Text Indent"/>
    <w:basedOn w:val="1"/>
    <w:qFormat/>
    <w:uiPriority w:val="99"/>
    <w:pPr>
      <w:spacing w:after="120"/>
      <w:ind w:left="420" w:leftChars="200"/>
    </w:pPr>
    <w:rPr>
      <w:rFonts w:ascii="Calibri" w:hAnsi="Calibri"/>
      <w:sz w:val="24"/>
    </w:rPr>
  </w:style>
  <w:style w:type="paragraph" w:styleId="4">
    <w:name w:val="Body Text"/>
    <w:basedOn w:val="1"/>
    <w:next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9">
    <w:name w:val="※正文"/>
    <w:basedOn w:val="1"/>
    <w:next w:val="1"/>
    <w:qFormat/>
    <w:uiPriority w:val="0"/>
    <w:pPr>
      <w:wordWrap w:val="0"/>
    </w:pPr>
  </w:style>
  <w:style w:type="paragraph" w:customStyle="1" w:styleId="10">
    <w:name w:val="Table Text"/>
    <w:basedOn w:val="1"/>
    <w:qFormat/>
    <w:uiPriority w:val="99"/>
    <w:pPr>
      <w:widowControl/>
      <w:tabs>
        <w:tab w:val="decimal" w:pos="0"/>
      </w:tabs>
      <w:autoSpaceDE w:val="0"/>
      <w:autoSpaceDN w:val="0"/>
      <w:adjustRightInd w:val="0"/>
      <w:spacing w:before="80" w:after="80"/>
    </w:pPr>
    <w:rPr>
      <w:rFonts w:ascii="Arial" w:hAnsi="Arial"/>
      <w:sz w:val="18"/>
      <w:szCs w:val="24"/>
    </w:rPr>
  </w:style>
  <w:style w:type="table" w:customStyle="1" w:styleId="1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8143</Words>
  <Characters>8253</Characters>
  <Lines>0</Lines>
  <Paragraphs>0</Paragraphs>
  <TotalTime>26</TotalTime>
  <ScaleCrop>false</ScaleCrop>
  <LinksUpToDate>false</LinksUpToDate>
  <CharactersWithSpaces>8777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2026-01-07T02:31:00Z</dcterms:created>
  <dc:creator>lenovo</dc:creator>
  <cp:lastModifiedBy>WPS_1688094311</cp:lastModifiedBy>
  <dcterms:modified xsi:type="dcterms:W3CDTF">2026-01-09T02:52:29Z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2F333ED4D8E94E899ADF4256FAA79F74_13</vt:lpwstr>
  </property>
  <property fmtid="{D5CDD505-2E9C-101B-9397-08002B2CF9AE}" pid="4" name="KSOTemplateDocerSaveRecord">
    <vt:lpwstr>eyJoZGlkIjoiOGZkYWI4MmRkNGFiNzMzYWM5ODc5ODFiNWMzZWNmM2YiLCJ1c2VySWQiOiIxNTEwMDk3NzkxIn0=</vt:lpwstr>
  </property>
</Properties>
</file>