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版本号：【KRDL】K5-2511157-0420260210001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网络与信息化机房设备维保服务(四次)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【KRDL】K5-2511157-04</w:t>
      </w:r>
      <w:r>
        <w:br/>
      </w:r>
      <w:r>
        <w:br/>
      </w:r>
      <w:r>
        <w:br/>
      </w:r>
    </w:p>
    <w:p>
      <w:pPr>
        <w:pStyle w:val="null3"/>
        <w:jc w:val="center"/>
        <w:outlineLvl w:val="2"/>
      </w:pPr>
      <w:r>
        <w:rPr>
          <w:rFonts w:ascii="仿宋_GB2312" w:hAnsi="仿宋_GB2312" w:cs="仿宋_GB2312" w:eastAsia="仿宋_GB2312"/>
          <w:sz w:val="28"/>
          <w:b/>
        </w:rPr>
        <w:t>西安市人民医院（西安市第四医院）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西安市人民医院（西安市第四医院）</w:t>
      </w:r>
      <w:r>
        <w:rPr>
          <w:rFonts w:ascii="仿宋_GB2312" w:hAnsi="仿宋_GB2312" w:cs="仿宋_GB2312" w:eastAsia="仿宋_GB2312"/>
        </w:rPr>
        <w:t>委托，拟对</w:t>
      </w:r>
      <w:r>
        <w:rPr>
          <w:rFonts w:ascii="仿宋_GB2312" w:hAnsi="仿宋_GB2312" w:cs="仿宋_GB2312" w:eastAsia="仿宋_GB2312"/>
        </w:rPr>
        <w:t>网络与信息化机房设备维保服务(四次)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【KRDL】K5-2511157-04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网络与信息化机房设备维保服务(四次)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提高信息化机房各类设备的使用效率，延长设备的使用寿命，降低因基础设备带来的安全风险，需要进行全面维护保养和定期巡检，确保系统和网络稳定，降低风险，本次采购机房运维服务，服务内容为信息系统机房核心设备：服务器、存储、虚拟化（超融合）平台、核心网络交换、UPS、精密空调等设施及其相关软件的质保与日常维护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采购包1（网络与信息化机房设备维保服务）：属于专门面向中小企业采购。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证明：供应商提供2024年度的财务审计报告或供应商基本户开户银行近三个月内出具的资信证明(须提供基本户开户许可证或基本户开户信息)或供应商提供在投标截止时间前三个月内由信用担保机构出具的投标担保函；</w:t>
      </w:r>
    </w:p>
    <w:p>
      <w:pPr>
        <w:pStyle w:val="null3"/>
      </w:pPr>
      <w:r>
        <w:rPr>
          <w:rFonts w:ascii="仿宋_GB2312" w:hAnsi="仿宋_GB2312" w:cs="仿宋_GB2312" w:eastAsia="仿宋_GB2312"/>
        </w:rPr>
        <w:t>3、税收缴纳证明：供应商提供2025年1月1日以来任意1个月的纳税缴纳证明，免税企业提供税务机关出具相关的有效证明材料；</w:t>
      </w:r>
    </w:p>
    <w:p>
      <w:pPr>
        <w:pStyle w:val="null3"/>
      </w:pPr>
      <w:r>
        <w:rPr>
          <w:rFonts w:ascii="仿宋_GB2312" w:hAnsi="仿宋_GB2312" w:cs="仿宋_GB2312" w:eastAsia="仿宋_GB2312"/>
        </w:rPr>
        <w:t>4、社会保障资金缴纳证明：供应商提供2025年1月1日以来任意1个月的社保缴纳证明，其他组织形式供应商(如个体工商户、合作社、自然人等)可提供法人或负责人个人2025年1月1日以来任意1个月的社保资金缴纳证明材料；</w:t>
      </w:r>
    </w:p>
    <w:p>
      <w:pPr>
        <w:pStyle w:val="null3"/>
      </w:pPr>
      <w:r>
        <w:rPr>
          <w:rFonts w:ascii="仿宋_GB2312" w:hAnsi="仿宋_GB2312" w:cs="仿宋_GB2312" w:eastAsia="仿宋_GB2312"/>
        </w:rPr>
        <w:t>5、信誉要求：截止至响应文件递交截止时间之前，供应商未被“信用中国”网站列入失信被执行人、重大税收违法失信主体名单，未被“中国政府采购网”网站列入政府采购严重违法失信行为记录名单（以采购代理机构在磋商会议现场通过“信用中国”网站、中国政府采购网等渠道的查询结果为准。）</w:t>
      </w:r>
    </w:p>
    <w:p>
      <w:pPr>
        <w:pStyle w:val="null3"/>
      </w:pPr>
      <w:r>
        <w:rPr>
          <w:rFonts w:ascii="仿宋_GB2312" w:hAnsi="仿宋_GB2312" w:cs="仿宋_GB2312" w:eastAsia="仿宋_GB2312"/>
        </w:rPr>
        <w:t>6、授权委托书：提供法定代表人授权书（附法定代表人、被授权人身份证复印件）；法定代表人直接参加磋商，须提供法定代表人身份证明及身份证复印件；</w:t>
      </w:r>
    </w:p>
    <w:p>
      <w:pPr>
        <w:pStyle w:val="null3"/>
      </w:pPr>
      <w:r>
        <w:rPr>
          <w:rFonts w:ascii="仿宋_GB2312" w:hAnsi="仿宋_GB2312" w:cs="仿宋_GB2312" w:eastAsia="仿宋_GB2312"/>
        </w:rPr>
        <w:t>7、是否接受联合体投标：本项目不接受联合体参加（供应商须提供非联合体参加声明）；</w:t>
      </w:r>
    </w:p>
    <w:p>
      <w:pPr>
        <w:pStyle w:val="null3"/>
      </w:pPr>
      <w:r>
        <w:rPr>
          <w:rFonts w:ascii="仿宋_GB2312" w:hAnsi="仿宋_GB2312" w:cs="仿宋_GB2312" w:eastAsia="仿宋_GB2312"/>
        </w:rPr>
        <w:t>8、专门面向中小企业采购：本项目专门面向中小企业采购（供应商须提供中小企业声明函）。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西安市人民医院（西安市第四医院）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西安市长安区航天新城航天东路155号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029-61199741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姚瑶、王森、于珂欣、王昭、刘昆、张晨、代光艳、靳祥德、成荔、彭明杨、王莉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029-81870236、18821613947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供应商后3日内，由成交供应商参照国家计委颁发的《采购代理服务收费管理暂行办法》（计价格[2002]1980号）以及国家发展和改革委员会办公厅颁发的《关于采购代理服务收费有关问题的通知》（发改办价格[2003] 857号）的有关规定标准下浮30%，向采购代理机构一次付清代理服务费。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踏勘时间：2026-02-25 09:00:00</w:t>
            </w:r>
          </w:p>
          <w:p>
            <w:pPr>
              <w:pStyle w:val="null3"/>
              <w:ind w:firstLine="975"/>
            </w:pPr>
            <w:r>
              <w:rPr>
                <w:rFonts w:ascii="仿宋_GB2312" w:hAnsi="仿宋_GB2312" w:cs="仿宋_GB2312" w:eastAsia="仿宋_GB2312"/>
              </w:rPr>
              <w:t>踏勘地点：9：00 大差市院区门诊门口集合 11:00 航天城院区门诊大厅集合</w:t>
            </w:r>
          </w:p>
          <w:p>
            <w:pPr>
              <w:pStyle w:val="null3"/>
              <w:ind w:firstLine="975"/>
            </w:pPr>
            <w:r>
              <w:rPr>
                <w:rFonts w:ascii="仿宋_GB2312" w:hAnsi="仿宋_GB2312" w:cs="仿宋_GB2312" w:eastAsia="仿宋_GB2312"/>
              </w:rPr>
              <w:t>联系人：于工</w:t>
            </w:r>
          </w:p>
          <w:p>
            <w:pPr>
              <w:pStyle w:val="null3"/>
              <w:ind w:firstLine="975"/>
            </w:pPr>
            <w:r>
              <w:rPr>
                <w:rFonts w:ascii="仿宋_GB2312" w:hAnsi="仿宋_GB2312" w:cs="仿宋_GB2312" w:eastAsia="仿宋_GB2312"/>
              </w:rPr>
              <w:t>联系电话号码：1821613947</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西安市人民医院（西安市第四医院）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西安市人民医院（西安市第四医院）</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西安市人民医院（西安市第四医院）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1、竞争性磋商文件、响应文件、澄清表(函); 2、本合同及附件文本； 3、国家相应的标准、规范。 4、总结报告、巡检单、满意度调查表等</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联系人：于珂欣</w:t>
      </w:r>
    </w:p>
    <w:p>
      <w:pPr>
        <w:pStyle w:val="null3"/>
      </w:pPr>
      <w:r>
        <w:rPr>
          <w:rFonts w:ascii="仿宋_GB2312" w:hAnsi="仿宋_GB2312" w:cs="仿宋_GB2312" w:eastAsia="仿宋_GB2312"/>
        </w:rPr>
        <w:t>联系电话：029-81870236、18821613947</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我院两院区信息化机房硬件集成建成投入使用至今，各设备运行平稳，核心设备已过维保期；为提高信息化机房各类设备的使用效率，延长设备的使用寿命，降低因基础设备带来的安全风险，需要进行全面维护保养和定期巡检，确保我院系统和网络稳定，降低风险，本次采购机房运维服务，服务内容为我院信息系统机房核心设备：服务器、存储、虚拟化（超融合）平台、核心网络交换、</w:t>
      </w:r>
      <w:r>
        <w:rPr>
          <w:rFonts w:ascii="仿宋_GB2312" w:hAnsi="仿宋_GB2312" w:cs="仿宋_GB2312" w:eastAsia="仿宋_GB2312"/>
        </w:rPr>
        <w:t>UPS、精密空调等设施及其相关软件的质保与日常维护服务。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网络与信息化机房设备维保服务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标的名称：网络与信息化机房设备维保服务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一、资产统计、更新、变更登记服务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1.1 服务要求：协助医院做好数据中心各类资产的梳理、统计、变更情况的记录，协助医院建立资产台账</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1.2 服务内容：硬件设备型号、数量、版本等信息统计记录，网络结构、网络路由、网络IP地址统计记录，机房网络拓扑图的绘制，其它附属设备的统计记录，预防性硬件设备维护服务培训、专业知识培训等</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二、网络、安全设备运维服务</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2.1 服务要求：通过网络、安全系统管理服务，降低网络设备故障率，提高网络设备的运行性能，提高网络运行的稳定性、可靠性</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2.2 服务内容：设备硬件及环境保养，设备硬件日常维护，设备故障检测及故障排除、处理，网络系统重部署及调试，网络异常问题处理，网络设备硬件状态检查，网络设备配置管理服务，网络设备资料与配置参数优化，网络使用状况趋势分析及建议，网络安全管理等</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三、服务器及存储运维服务</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3.1 服务器</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3.1.1 服务要求：通过对服务器提供设备维保及巡检，提高服务器运行稳定性和可靠性</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3.1.2 服务内容：CPU、内存、I/O状态、进程、系统事件等检查，外部设备运行状态检查，电源、风扇、后备电池、磁盘检查，连接插头、电缆、电源插座等连接件检查， 电源电压、接地和机箱温度等环境检查等</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3.1.3 服务内容：将大差市机房服务器的 iBMC 端口统一接入，实现集中管理</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3.2 存储</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3.2.1 服务要求：通过对存储进行设备维保、巡检及日常维护，合理规划存储空间，保障设备运行稳定与数据安全</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3.2.2 服务内容：网络状态，存储空间监测，I/O监测，硬盘状态检查，双活状态检查等</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3.2.3 大差市机房 V7000一台 存储设备存储的数据逐步迁移至云平台</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四、操作系统、虚拟化平台及数据库运维</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4.1 操作系统运维</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4.1.1 服务要求：对各类服务器操作系统进行管理，已安装部署的操作系统进行巡检，安装系统补丁，保障操作系统运行稳定与安全</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4.1.2 服务内容：操作系统镜像管理，服务器进程与服务检查，用户、密码与权限检查，操作系统补丁安装、日志分析，安全策略调优，故障诊断和修复等</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4.2 虚拟化平台运维</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4.2.1 服务要求：对虚拟化平台进行维保，巡检及日常维护，合理规划计算资源，及时更新系统版本保障虚拟化平台及其支撑的虚拟机平稳运行，其中青云私有云平台须购买与服务期相匹配的原厂保修。原厂每季度巡检服务并输出巡检报告，软件版本升级至6.0版本及以上。</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4.2.2 服务内容：虚拟化平台日常运维，虚拟化底层设备巡检，虚拟机备份与迁移，虚拟化平台版本升级、告警处理与故障修复等</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4.3 数据库服务</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4.3.1 服务要求：此项服务是指数据库运维技术人员前往客户现场对数据库进行性能巡检并完成针对性优化，及时解决潜在的风险，提升用户使用体验感。</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4.3.2 服务内容：①数据库巡检及诊断:提供数据库各方面巡检,向用户输出存在的问题及隐患，提供相应的解决方法并协助用户落实；②现场数据库性能优化：优化数据库配置、索引、阻塞、慢语句、慢存储过程进行，最大范围提升数据库性能；③SQL代码分析:分析应用程序代码，发现待优化项，并提供最佳实践方法；④硬件评估:评估数据库的硬件承载能力，分析硬件瓶颈所在；⑤技术支持：针对业务数据库提供7*24小时技术支持，第一时间帮助用户排查数据库类问题；⑥数据库知识培训:向客户提供数据库技术的全面培训。⑦所需运维的数据库管理系统清单详见附件。</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4.3.3 服务人员和方式：监控管理中心数据库运维技术人员现场服务方式。</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4.3.4 服务标准：此项服务为单次服务，主要包含现场数据库巡检及诊断、现场数据库性能优化、SQL代码分析、硬件评估、技术支持、数据库知识培训等具体服务小项。现场数据库性能优化服务工作需通过《现场巡检报告》呈现。</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rPr>
              <w:t>五、机房动环设备运维</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5.1 UPS</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5.1.1 服务要求：对机房UPS系统整体进行维保，巡检及日常维护，保障机房电力供应平稳，能够应对突发停电事件。</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rPr>
              <w:t>5.1.2 服务内容：UPS系统配电柜面板功能检查，输入输出各项参数检查，蓄电池外观状态与环境检查，线路连接与指示灯检查，定期开展充放电等</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rPr>
              <w:t>5.2 精密空调</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rPr>
              <w:t>5.2.1 服务要求：对机房精密空调系统整体进行维保，巡检及日常维护，保障机房温湿度保持在合适的范围，保障各类设备运行温度正常。</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rPr>
              <w:t>5.2.2 服务内容：精密空调面板功能检查，温湿度各项参数检查，机房温湿度监控，冷媒与漏水检测传感器检查，定期清洗过滤网等</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pPr>
            <w:r>
              <w:rPr>
                <w:rFonts w:ascii="仿宋_GB2312" w:hAnsi="仿宋_GB2312" w:cs="仿宋_GB2312" w:eastAsia="仿宋_GB2312"/>
              </w:rPr>
              <w:t>六、运维记录周期要求</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pPr>
            <w:r>
              <w:rPr>
                <w:rFonts w:ascii="仿宋_GB2312" w:hAnsi="仿宋_GB2312" w:cs="仿宋_GB2312" w:eastAsia="仿宋_GB2312"/>
              </w:rPr>
              <w:t>6.1 服务器、网络设备、安全设备、数据库、动环系统等设备与系统的巡检，每月不少于1次，每季度提交一份巡检报告。</w:t>
            </w:r>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p>
            <w:pPr>
              <w:pStyle w:val="null3"/>
            </w:pPr>
            <w:r>
              <w:rPr>
                <w:rFonts w:ascii="仿宋_GB2312" w:hAnsi="仿宋_GB2312" w:cs="仿宋_GB2312" w:eastAsia="仿宋_GB2312"/>
              </w:rPr>
              <w:t>6.2 故障处理记录每次及时记录，故障处理完成后1周内提交故障周报。</w:t>
            </w:r>
          </w:p>
        </w:tc>
      </w:tr>
      <w:tr>
        <w:tc>
          <w:tcPr>
            <w:tcW w:type="dxa" w:w="2769"/>
          </w:tcPr>
          <w:p>
            <w:pPr>
              <w:pStyle w:val="null3"/>
            </w:pPr>
            <w:r>
              <w:rPr>
                <w:rFonts w:ascii="仿宋_GB2312" w:hAnsi="仿宋_GB2312" w:cs="仿宋_GB2312" w:eastAsia="仿宋_GB2312"/>
              </w:rPr>
              <w:t>38</w:t>
            </w:r>
          </w:p>
        </w:tc>
        <w:tc>
          <w:tcPr>
            <w:tcW w:type="dxa" w:w="2769"/>
          </w:tcPr>
          <w:p/>
        </w:tc>
        <w:tc>
          <w:tcPr>
            <w:tcW w:type="dxa" w:w="2769"/>
          </w:tcPr>
          <w:p>
            <w:pPr>
              <w:pStyle w:val="null3"/>
            </w:pPr>
            <w:r>
              <w:rPr>
                <w:rFonts w:ascii="仿宋_GB2312" w:hAnsi="仿宋_GB2312" w:cs="仿宋_GB2312" w:eastAsia="仿宋_GB2312"/>
              </w:rPr>
              <w:t>6.3 每季度提交一份运维工作总结与自评表，每年运维服务期结束后提交年度运维工作总结与自评表</w:t>
            </w:r>
          </w:p>
        </w:tc>
      </w:tr>
      <w:tr>
        <w:tc>
          <w:tcPr>
            <w:tcW w:type="dxa" w:w="2769"/>
          </w:tcPr>
          <w:p>
            <w:pPr>
              <w:pStyle w:val="null3"/>
            </w:pPr>
            <w:r>
              <w:rPr>
                <w:rFonts w:ascii="仿宋_GB2312" w:hAnsi="仿宋_GB2312" w:cs="仿宋_GB2312" w:eastAsia="仿宋_GB2312"/>
              </w:rPr>
              <w:t>39</w:t>
            </w:r>
          </w:p>
        </w:tc>
        <w:tc>
          <w:tcPr>
            <w:tcW w:type="dxa" w:w="2769"/>
          </w:tcPr>
          <w:p/>
        </w:tc>
        <w:tc>
          <w:tcPr>
            <w:tcW w:type="dxa" w:w="2769"/>
          </w:tcPr>
          <w:p>
            <w:pPr>
              <w:pStyle w:val="null3"/>
            </w:pPr>
            <w:r>
              <w:rPr>
                <w:rFonts w:ascii="仿宋_GB2312" w:hAnsi="仿宋_GB2312" w:cs="仿宋_GB2312" w:eastAsia="仿宋_GB2312"/>
              </w:rPr>
              <w:t>七、驻场服务要求</w:t>
            </w:r>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p>
            <w:pPr>
              <w:pStyle w:val="null3"/>
            </w:pPr>
            <w:r>
              <w:rPr>
                <w:rFonts w:ascii="仿宋_GB2312" w:hAnsi="仿宋_GB2312" w:cs="仿宋_GB2312" w:eastAsia="仿宋_GB2312"/>
              </w:rPr>
              <w:t>7.1 ≥1名驻场人员，保持人员稳定，非特殊原因不得替换。驻场人员应具备5年以上系统集成经验且具备中级或以上或以下厂家存储或虚拟化认证（如华为虚拟化中HCIE及以上认证等）或熟悉aix、linux等系统维护或熟练操作华为、IBM、联想、SAN交换机等主流系统运维工作。</w:t>
            </w:r>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p>
            <w:pPr>
              <w:pStyle w:val="null3"/>
            </w:pPr>
            <w:r>
              <w:rPr>
                <w:rFonts w:ascii="仿宋_GB2312" w:hAnsi="仿宋_GB2312" w:cs="仿宋_GB2312" w:eastAsia="仿宋_GB2312"/>
              </w:rPr>
              <w:t>7.2 驻场人员负责在现场完成日常巡检，设备监控，故障处理，性能优化，文档编写等日常工作</w:t>
            </w:r>
          </w:p>
        </w:tc>
      </w:tr>
      <w:tr>
        <w:tc>
          <w:tcPr>
            <w:tcW w:type="dxa" w:w="2769"/>
          </w:tcPr>
          <w:p>
            <w:pPr>
              <w:pStyle w:val="null3"/>
            </w:pPr>
            <w:r>
              <w:rPr>
                <w:rFonts w:ascii="仿宋_GB2312" w:hAnsi="仿宋_GB2312" w:cs="仿宋_GB2312" w:eastAsia="仿宋_GB2312"/>
              </w:rPr>
              <w:t>42</w:t>
            </w:r>
          </w:p>
        </w:tc>
        <w:tc>
          <w:tcPr>
            <w:tcW w:type="dxa" w:w="2769"/>
          </w:tcPr>
          <w:p/>
        </w:tc>
        <w:tc>
          <w:tcPr>
            <w:tcW w:type="dxa" w:w="2769"/>
          </w:tcPr>
          <w:p>
            <w:pPr>
              <w:pStyle w:val="null3"/>
            </w:pPr>
            <w:r>
              <w:rPr>
                <w:rFonts w:ascii="仿宋_GB2312" w:hAnsi="仿宋_GB2312" w:cs="仿宋_GB2312" w:eastAsia="仿宋_GB2312"/>
              </w:rPr>
              <w:t>7.3 驻场人员按照采购人员工的考勤制度管理</w:t>
            </w:r>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p>
            <w:pPr>
              <w:pStyle w:val="null3"/>
            </w:pPr>
            <w:r>
              <w:rPr>
                <w:rFonts w:ascii="仿宋_GB2312" w:hAnsi="仿宋_GB2312" w:cs="仿宋_GB2312" w:eastAsia="仿宋_GB2312"/>
              </w:rPr>
              <w:t>7.4 驻场人员工作时间之外，保持24小时电话畅通，响应时间≤15分钟，到达现场时间≤2小时</w:t>
            </w:r>
          </w:p>
        </w:tc>
      </w:tr>
      <w:tr>
        <w:tc>
          <w:tcPr>
            <w:tcW w:type="dxa" w:w="2769"/>
          </w:tcPr>
          <w:p>
            <w:pPr>
              <w:pStyle w:val="null3"/>
            </w:pPr>
            <w:r>
              <w:rPr>
                <w:rFonts w:ascii="仿宋_GB2312" w:hAnsi="仿宋_GB2312" w:cs="仿宋_GB2312" w:eastAsia="仿宋_GB2312"/>
              </w:rPr>
              <w:t>44</w:t>
            </w:r>
          </w:p>
        </w:tc>
        <w:tc>
          <w:tcPr>
            <w:tcW w:type="dxa" w:w="2769"/>
          </w:tcPr>
          <w:p/>
        </w:tc>
        <w:tc>
          <w:tcPr>
            <w:tcW w:type="dxa" w:w="2769"/>
          </w:tcPr>
          <w:p>
            <w:pPr>
              <w:pStyle w:val="null3"/>
            </w:pPr>
            <w:r>
              <w:rPr>
                <w:rFonts w:ascii="仿宋_GB2312" w:hAnsi="仿宋_GB2312" w:cs="仿宋_GB2312" w:eastAsia="仿宋_GB2312"/>
              </w:rPr>
              <w:t>7.5二线支持：不需驻场，不少于10人的二线团队，根据需要提供定期或不定期的技术支持。二线团队应由多个技术领域的技术人员组成，领域应包含：项目管理、服务管理、服务器、存储、网络、操作系统、数据库、备份、机房环境等。二线技术人员对现场特定的事务进行有针对性的支持，和一线人员的工作互补，以满足整体运维服务的要求。</w:t>
            </w:r>
          </w:p>
        </w:tc>
      </w:tr>
      <w:tr>
        <w:tc>
          <w:tcPr>
            <w:tcW w:type="dxa" w:w="2769"/>
          </w:tcPr>
          <w:p>
            <w:pPr>
              <w:pStyle w:val="null3"/>
            </w:pPr>
            <w:r>
              <w:rPr>
                <w:rFonts w:ascii="仿宋_GB2312" w:hAnsi="仿宋_GB2312" w:cs="仿宋_GB2312" w:eastAsia="仿宋_GB2312"/>
              </w:rPr>
              <w:t>45</w:t>
            </w:r>
          </w:p>
        </w:tc>
        <w:tc>
          <w:tcPr>
            <w:tcW w:type="dxa" w:w="2769"/>
          </w:tcPr>
          <w:p/>
        </w:tc>
        <w:tc>
          <w:tcPr>
            <w:tcW w:type="dxa" w:w="2769"/>
          </w:tcPr>
          <w:p>
            <w:pPr>
              <w:pStyle w:val="null3"/>
            </w:pPr>
            <w:r>
              <w:rPr>
                <w:rFonts w:ascii="仿宋_GB2312" w:hAnsi="仿宋_GB2312" w:cs="仿宋_GB2312" w:eastAsia="仿宋_GB2312"/>
              </w:rPr>
              <w:t>八、运维服务范围</w:t>
            </w:r>
          </w:p>
        </w:tc>
      </w:tr>
      <w:tr>
        <w:tc>
          <w:tcPr>
            <w:tcW w:type="dxa" w:w="2769"/>
          </w:tcPr>
          <w:p>
            <w:pPr>
              <w:pStyle w:val="null3"/>
            </w:pPr>
            <w:r>
              <w:rPr>
                <w:rFonts w:ascii="仿宋_GB2312" w:hAnsi="仿宋_GB2312" w:cs="仿宋_GB2312" w:eastAsia="仿宋_GB2312"/>
              </w:rPr>
              <w:t>46</w:t>
            </w:r>
          </w:p>
        </w:tc>
        <w:tc>
          <w:tcPr>
            <w:tcW w:type="dxa" w:w="2769"/>
          </w:tcPr>
          <w:p/>
        </w:tc>
        <w:tc>
          <w:tcPr>
            <w:tcW w:type="dxa" w:w="2769"/>
          </w:tcPr>
          <w:p>
            <w:pPr>
              <w:pStyle w:val="null3"/>
            </w:pPr>
            <w:r>
              <w:rPr>
                <w:rFonts w:ascii="仿宋_GB2312" w:hAnsi="仿宋_GB2312" w:cs="仿宋_GB2312" w:eastAsia="仿宋_GB2312"/>
              </w:rPr>
              <w:t>8.1 两院区机房内所有在用及服务期内新增的设备、数据库、虚拟化平台进行日常运维，且对已过保设备提供保修服务，已过保设备详见附件《运维服务设备清单》，机房新增设备实时加入该清单。</w:t>
            </w:r>
          </w:p>
        </w:tc>
      </w:tr>
      <w:tr>
        <w:tc>
          <w:tcPr>
            <w:tcW w:type="dxa" w:w="2769"/>
          </w:tcPr>
          <w:p>
            <w:pPr>
              <w:pStyle w:val="null3"/>
            </w:pPr>
            <w:r>
              <w:rPr>
                <w:rFonts w:ascii="仿宋_GB2312" w:hAnsi="仿宋_GB2312" w:cs="仿宋_GB2312" w:eastAsia="仿宋_GB2312"/>
              </w:rPr>
              <w:t>47</w:t>
            </w:r>
          </w:p>
        </w:tc>
        <w:tc>
          <w:tcPr>
            <w:tcW w:type="dxa" w:w="2769"/>
          </w:tcPr>
          <w:p/>
        </w:tc>
        <w:tc>
          <w:tcPr>
            <w:tcW w:type="dxa" w:w="2769"/>
          </w:tcPr>
          <w:p>
            <w:pPr>
              <w:pStyle w:val="null3"/>
            </w:pPr>
            <w:r>
              <w:rPr>
                <w:rFonts w:ascii="仿宋_GB2312" w:hAnsi="仿宋_GB2312" w:cs="仿宋_GB2312" w:eastAsia="仿宋_GB2312"/>
              </w:rPr>
              <w:t>九、机房整治</w:t>
            </w:r>
          </w:p>
        </w:tc>
      </w:tr>
      <w:tr>
        <w:tc>
          <w:tcPr>
            <w:tcW w:type="dxa" w:w="2769"/>
          </w:tcPr>
          <w:p>
            <w:pPr>
              <w:pStyle w:val="null3"/>
            </w:pPr>
            <w:r>
              <w:rPr>
                <w:rFonts w:ascii="仿宋_GB2312" w:hAnsi="仿宋_GB2312" w:cs="仿宋_GB2312" w:eastAsia="仿宋_GB2312"/>
              </w:rPr>
              <w:t>48</w:t>
            </w:r>
          </w:p>
        </w:tc>
        <w:tc>
          <w:tcPr>
            <w:tcW w:type="dxa" w:w="2769"/>
          </w:tcPr>
          <w:p/>
        </w:tc>
        <w:tc>
          <w:tcPr>
            <w:tcW w:type="dxa" w:w="2769"/>
          </w:tcPr>
          <w:p>
            <w:pPr>
              <w:pStyle w:val="null3"/>
            </w:pPr>
            <w:r>
              <w:rPr>
                <w:rFonts w:ascii="仿宋_GB2312" w:hAnsi="仿宋_GB2312" w:cs="仿宋_GB2312" w:eastAsia="仿宋_GB2312"/>
              </w:rPr>
              <w:t>9.1 大差市机房机线整治，线缆整理，完善拓扑，完善标签等。弱电间从配线架到交换机的线缆整理，整治期间须保障原有设备、电路正常运行。</w:t>
            </w:r>
          </w:p>
        </w:tc>
      </w:tr>
      <w:tr>
        <w:tc>
          <w:tcPr>
            <w:tcW w:type="dxa" w:w="2769"/>
          </w:tcPr>
          <w:p>
            <w:pPr>
              <w:pStyle w:val="null3"/>
            </w:pPr>
            <w:r>
              <w:rPr>
                <w:rFonts w:ascii="仿宋_GB2312" w:hAnsi="仿宋_GB2312" w:cs="仿宋_GB2312" w:eastAsia="仿宋_GB2312"/>
              </w:rPr>
              <w:t>49</w:t>
            </w:r>
          </w:p>
        </w:tc>
        <w:tc>
          <w:tcPr>
            <w:tcW w:type="dxa" w:w="2769"/>
          </w:tcPr>
          <w:p/>
        </w:tc>
        <w:tc>
          <w:tcPr>
            <w:tcW w:type="dxa" w:w="2769"/>
          </w:tcPr>
          <w:p>
            <w:pPr>
              <w:pStyle w:val="null3"/>
            </w:pPr>
            <w:r>
              <w:rPr>
                <w:rFonts w:ascii="仿宋_GB2312" w:hAnsi="仿宋_GB2312" w:cs="仿宋_GB2312" w:eastAsia="仿宋_GB2312"/>
              </w:rPr>
              <w:t>十、备件库及耗材保障</w:t>
            </w:r>
          </w:p>
        </w:tc>
      </w:tr>
      <w:tr>
        <w:tc>
          <w:tcPr>
            <w:tcW w:type="dxa" w:w="2769"/>
          </w:tcPr>
          <w:p>
            <w:pPr>
              <w:pStyle w:val="null3"/>
            </w:pPr>
            <w:r>
              <w:rPr>
                <w:rFonts w:ascii="仿宋_GB2312" w:hAnsi="仿宋_GB2312" w:cs="仿宋_GB2312" w:eastAsia="仿宋_GB2312"/>
              </w:rPr>
              <w:t>50</w:t>
            </w:r>
          </w:p>
        </w:tc>
        <w:tc>
          <w:tcPr>
            <w:tcW w:type="dxa" w:w="2769"/>
          </w:tcPr>
          <w:p/>
        </w:tc>
        <w:tc>
          <w:tcPr>
            <w:tcW w:type="dxa" w:w="2769"/>
          </w:tcPr>
          <w:p>
            <w:pPr>
              <w:pStyle w:val="null3"/>
            </w:pPr>
            <w:r>
              <w:rPr>
                <w:rFonts w:ascii="仿宋_GB2312" w:hAnsi="仿宋_GB2312" w:cs="仿宋_GB2312" w:eastAsia="仿宋_GB2312"/>
              </w:rPr>
              <w:t>10.1 设置备件库，需提供备件库证明文件及备件清单，备件清单包括但不限于电源、硬盘、内存、阵列卡等，还应包括采购人在用的信息设备和服务存续期间采购人新增入院的信息设备及软件所需的备件等，费用包含在维保费用内，不再增加其他额外费用。需要更换备件时，备件到场时间≤2小时。同时具备完善的备件库及低值耗材管理方案和服务流程。</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2026年6月1日-2027年12月31日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采购人指定地点（包含大差市院区及航天城院区业务范围）。</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1.服务期到期后，成交供应商提出申请，共同出具项目自验报告并附带服务考核表。采购人根据竞争性磋商文件、响应文件及相关文件进行验收，确认成交供应商是否达到服务标准和采购要求。 2.采购人组织成交供应商(必要时请有关专家)进行项目验收，确认项目最终执行金额，验收合格后，填写政府采购项目验收单(一式伍份)作为对项目的最终认可。 3.成交供应商向采购人提供维保服务过程中的所有资料，以便采购人日后管理和维护。 4.验收依据 (1)竞争性磋商文件、响应文件、澄清表(函); (2)本合同及附件文本； (3)国家相应的标准、规范。 (4)总结报告、巡检单、满意度调查表等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合同签订后，自采购人接到合同总价款40%等额发票之日起，10个工作日内支付合同总金额的40%款项作为预付款 </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整个项目服务期间，采购人按月对服务商服务效果进行评价考核。服务期结束，成交供应商按照要求交付运维文档资料后30天内，采购人按每月考核结果对成交供应商整体服务效果进行综合评价，拟定合同最终执行金额，交予成交供应商确认。成交供应商确认执行金额后，按确认金额开具剩余发票。采购人自接到发票之日起，10个工作日内支付发票金额的100%。（以合同签订为准） </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1.《中华人民共和国民法典》中的相关条款执行。 2.成交供应商存在以下情形之一： （1）服务期开始后超30天乙方仍未入场；（2）成交供应商收到预付款后未按合同要求提供服务； （3）因成交供应商服务质量不能满足合同技术要求，导致采购人网络或系统大面积瘫痪持续超过24小时，或服务期内累计超过3天，则视为成交供应商根本违约，成交供应商应退还采购人预付款，并按照合同总价的30%向采购人支付违约金，若违约金不足以弥补采购人全部损失(包括但不限于重新采购产生的费用及其它由此造成的采购人对第三方的违约损失),由成交供应商另行支付。同时采购人有权按照《中华人民共和国招标投标法》、《中华人民共和国政府采购法》有关处罚条款报监管机构进行相应的处罚。 3.合同存续期间，如经双方协商一致决定终止合同，则双方均不视为违约。成交供应商应继续履行合同义务至当季度结束，采购人应按照合同约定的付款条件向成交供应商支付成交供应商履约期内的服务款项，无需支付未履行服务期期间的款项。</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进入相关部门“黑名单”的供应商以及有行贿、串标等违法违规行为并经查实的供应商不能参与本院采购项目的投标活动。对“黑名单”中供应商采取“一票否决”及“随时叫停”机制，在报名、资格审核、评审、公示、合同签订等各环节一旦发现并查实有行贿等违法违规行为的，立即取消其相关资格且终止合同签订。 2.根据《西安市财政局关于促进政府采购公平竞争优化营商环境的通知》市财函[2021]431号文第16条 供应商登记免费领取采购文件的，如不参与项目投标，应在递交投标（或响应）文件截止时间前一日以书面形式告知采购代理机构（接收邮箱：1253677747@qq.com）。否则，采购代理机构可以向财政部门反应情况并提供相应的佐证，供应商一年内累计出现三次该情形，将被监管部门记录为失信行为。 3.运维服务设备清单及所需运维的数据库管理系统清单详见附件。 4.其他商务要求：（1）质量保修范围和保修期：1）乙方确定的方案科学、可行，人员配置合理，满足采购人要求。2）符合国家有关服务规范要求，确保各项系统达到服务要求。3）乙方所有技术人员严格遵守采购人的保密规定，签订保密协议。4）乙方提供的服务，若发生侵权而产生的一切后果，由乙方负责，采购人保留索赔权利。5）为保护采购人的合法权利，乙方企业法定代表人、股东对于本合同的履行须承担无限连带保证责任，并出具《网络与信息化机房设备维保服务采购项目》承担无限连带保证责任担保函。 （2）履约验收时间：供应商提出验收申请之日起 30 日内组织验收。 （3）验收组织的其他事项：采购人组织成交供应商(必要时请有关专家)进行系统验收，验收合格后，填写政府采购项目验收单(一式伍份)作为对项目的最终认可。 （4）履约验收标准：1）竞争性磋商文件、响应文件、澄清表(函);2）本合同及附件文本；3）国家相应的标准、规范；4）总结报告、巡检单、满意度调查表等。 （5）合同总价包括：服务费、人工费、交通费、货物运输与仓储费、检测费、配件耗材费、安装调试费、验收、税费、发票等成交供应商履行合同义务所需的全部费用，合同金额一次性包死，不受市场价格变化等因素的影响。 （6）驻场人员要求： ≥1名驻场人员，保持人员稳定，非特殊原因不得替换。驻场人员应具备5年以上系统集成经验且具备中级或以上或以下厂家存储或虚拟化认证（如华为虚拟化中HCIE及以上认证等）或熟悉aix、linux等系统维护或熟练操作华为、IBM、联想、SAN交换机等主流系统运维工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单位负责人为同一人或者存在直接控股、管理关系的其他供应商不得参与同一合同项下的政府采购活动的行为。</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(3)财政部、国家发展改革委《关于印发〈节能产品政府采购实施意见〉的通知》 (财库〔2004〕185号)、财政部、国家环保总局联合印发《关于环境标志产品政府采购实施的意见》(财库(2006〕90号)、国务院办公厅《关于建立政府强制采购节能产品制度的通知》(国办发〔2007〕51号)、财政部、国家发展和改革委员会、生态环境部、市场监管总局联合印发《关于调整优化节能产品、环境标志产品政府采购执行机制的通知》(财库〔2019〕9号);(4)《陕西省财政厅关于加快推进我省中小企业政府采购信用融资工作的通知》(陕财办采〔2020〕15号)、陕西省财政厅关于印发《陕西省中小企业政府采购信用融资办法》(陕财办采〔2018〕23号);(5)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供应商提供2024年度的财务审计报告或供应商基本户开户银行近三个月内出具的资信证明(须提供基本户开户许可证或基本户开户信息)或供应商提供在投标截止时间前三个月内由信用担保机构出具的投标担保函；</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供应商提供2025年1月1日以来任意1个月的纳税缴纳证明，免税企业提供税务机关出具相关的有效证明材料；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供应商提供2025年1月1日以来任意1个月的社保缴纳证明，其他组织形式供应商(如个体工商户、合作社、自然人等)可提供法人或负责人个人2025年1月1日以来任意1个月的社保资金缴纳证明材料；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截止至响应文件递交截止时间之前，供应商未被“信用中国”网站列入失信被执行人、重大税收违法失信主体名单，未被“中国政府采购网”网站列入政府采购严重违法失信行为记录名单（以采购代理机构在磋商会议现场通过“信用中国”网站、中国政府采购网等渠道的查询结果为准。）</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提供法定代表人授权书（附法定代表人、被授权人身份证复印件）；法定代表人直接参加磋商，须提供法定代表人身份证明及身份证复印件；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本项目不接受联合体参加（供应商须提供非联合体参加声明）；</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专门面向中小企业采购</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服务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中小企业声明函 商务应答表 报价表 项目服务实施方案.docx 响应文件封面 残疾人福利性单位声明函 合同响应偏离表.docx 标的清单 其他资料.docx 供应商应提交的相关资格证明文件.docx 响应函 商务条款偏离表.docx 监狱企业的证明文件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响应文件应按照竞争性磋商文件要求签署、盖章</w:t>
            </w:r>
          </w:p>
        </w:tc>
        <w:tc>
          <w:tcPr>
            <w:tcW w:type="dxa" w:w="1661"/>
          </w:tcPr>
          <w:p>
            <w:pPr>
              <w:pStyle w:val="null3"/>
            </w:pPr>
            <w:r>
              <w:rPr>
                <w:rFonts w:ascii="仿宋_GB2312" w:hAnsi="仿宋_GB2312" w:cs="仿宋_GB2312" w:eastAsia="仿宋_GB2312"/>
              </w:rPr>
              <w:t>服务内容及服务邀请应答表 中小企业声明函 商务应答表 项目服务实施方案.docx 响应文件封面 残疾人福利性单位声明函 合同响应偏离表.docx 标的清单 其他资料.docx 供应商应提交的相关资格证明文件.docx 响应函 商务条款偏离表.docx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报价是否超过竞争性磋商文件中规定的预算金额或者最高限价</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服务内容及服务邀请应答表 中小企业声明函 商务应答表 项目服务实施方案.docx 响应文件封面 残疾人福利性单位声明函 合同响应偏离表.docx 标的清单 其他资料.docx 供应商应提交的相关资格证明文件.docx 响应函 商务条款偏离表.docx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响应文件不存在法律、法规和竞争性磋商文件规定的其他无效情形。</w:t>
            </w:r>
          </w:p>
        </w:tc>
        <w:tc>
          <w:tcPr>
            <w:tcW w:type="dxa" w:w="1661"/>
          </w:tcPr>
          <w:p>
            <w:pPr>
              <w:pStyle w:val="null3"/>
            </w:pPr>
            <w:r>
              <w:rPr>
                <w:rFonts w:ascii="仿宋_GB2312" w:hAnsi="仿宋_GB2312" w:cs="仿宋_GB2312" w:eastAsia="仿宋_GB2312"/>
              </w:rPr>
              <w:t>服务内容及服务邀请应答表 中小企业声明函 商务应答表 项目服务实施方案.docx 响应文件封面 残疾人福利性单位声明函 合同响应偏离表.docx 标的清单 其他资料.docx 供应商应提交的相关资格证明文件.docx 响应函 商务条款偏离表.docx 监狱企业的证明文件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响应文件是否响应“陕西省政府采购供货商拒绝政府采购领域商业贿赂承诺书、参加政府采购活动行为自律承诺书（一）、参加政府采购活动行为自律承诺书（二）</w:t>
            </w:r>
          </w:p>
        </w:tc>
        <w:tc>
          <w:tcPr>
            <w:tcW w:type="dxa" w:w="3322"/>
          </w:tcPr>
          <w:p>
            <w:pPr>
              <w:pStyle w:val="null3"/>
            </w:pPr>
            <w:r>
              <w:rPr>
                <w:rFonts w:ascii="仿宋_GB2312" w:hAnsi="仿宋_GB2312" w:cs="仿宋_GB2312" w:eastAsia="仿宋_GB2312"/>
              </w:rPr>
              <w:t>响应文件响应“陕西省政府采购供货商拒绝政府采购领域商业贿赂承诺书、参加政府采购活动行为自律承诺书（一）、参加政府采购活动行为自律承诺书（二）</w:t>
            </w:r>
          </w:p>
        </w:tc>
        <w:tc>
          <w:tcPr>
            <w:tcW w:type="dxa" w:w="1661"/>
          </w:tcPr>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授权代表社保缴纳证明材料</w:t>
            </w:r>
          </w:p>
        </w:tc>
        <w:tc>
          <w:tcPr>
            <w:tcW w:type="dxa" w:w="3322"/>
          </w:tcPr>
          <w:p>
            <w:pPr>
              <w:pStyle w:val="null3"/>
            </w:pPr>
            <w:r>
              <w:rPr>
                <w:rFonts w:ascii="仿宋_GB2312" w:hAnsi="仿宋_GB2312" w:cs="仿宋_GB2312" w:eastAsia="仿宋_GB2312"/>
              </w:rPr>
              <w:t>法定代表人授权代表参加投标的，需附被授权人在本单位缴纳社保的证明材料（至少提供响应文件递交截止之日前连续三个月的社保缴纳证明材料，不含开标当月）</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服务内容及要求响应情况</w:t>
            </w:r>
          </w:p>
        </w:tc>
        <w:tc>
          <w:tcPr>
            <w:tcW w:type="dxa" w:w="2492"/>
          </w:tcPr>
          <w:p>
            <w:pPr>
              <w:pStyle w:val="null3"/>
            </w:pPr>
            <w:r>
              <w:rPr>
                <w:rFonts w:ascii="仿宋_GB2312" w:hAnsi="仿宋_GB2312" w:cs="仿宋_GB2312" w:eastAsia="仿宋_GB2312"/>
              </w:rPr>
              <w:t>根据服务内容及要求响应情况评审： 1.完全满足服务内容及要求的，得10分； 2.服务指标要求每负偏离一项扣0.5分，扣完为止。 注：供应商需对提供的服务方案进行说明并提供相关佐证材料；供应商自行承担因材料提供不全导致评审的风险。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需求分析</w:t>
            </w:r>
          </w:p>
        </w:tc>
        <w:tc>
          <w:tcPr>
            <w:tcW w:type="dxa" w:w="2492"/>
          </w:tcPr>
          <w:p>
            <w:pPr>
              <w:pStyle w:val="null3"/>
            </w:pPr>
            <w:r>
              <w:rPr>
                <w:rFonts w:ascii="仿宋_GB2312" w:hAnsi="仿宋_GB2312" w:cs="仿宋_GB2312" w:eastAsia="仿宋_GB2312"/>
              </w:rPr>
              <w:t>一、评审内容 根据供应商针对本项目提供的需求分析方案进行评审，包含：1.对本项目维保现状的理解分析；2.对本项目流程、管理要求的理解分析； 二、评审标准 1.完整性：方案须全面合理，架构完整，对评审内容中的各项要求有详细描述； 2.可实施性：切合本项目实际情况，实施步骤清晰、合理； 3.针对性：方案能够紧扣本项目所维修设备等实际情况，内容科学合理。 三、赋分依据（4分） 上述2项评审内容全部满足评审标准得4分；每有一个评审内容缺项扣2分，扣完为止；每有一项评审内容存在缺陷，扣0.1-2分。 说明：缺陷是指内容没有结合项目实际需求、虽有内容但不完善、内容表述前后不一致或与项目需求不匹配及其他不利于项目实施的等任意一种情形。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整体维保方案</w:t>
            </w:r>
          </w:p>
        </w:tc>
        <w:tc>
          <w:tcPr>
            <w:tcW w:type="dxa" w:w="2492"/>
          </w:tcPr>
          <w:p>
            <w:pPr>
              <w:pStyle w:val="null3"/>
            </w:pPr>
            <w:r>
              <w:rPr>
                <w:rFonts w:ascii="仿宋_GB2312" w:hAnsi="仿宋_GB2312" w:cs="仿宋_GB2312" w:eastAsia="仿宋_GB2312"/>
              </w:rPr>
              <w:t>一、评审内容 根据供应商提供的整体维保方案进行评审，包含：1.日常运行检查及定期报检情况（频率、内容、记录单）；2..维护保养规程； 3.不同设备差异化的维护策略； 4.智能化监控手段（如动环系统实时监测温湿度、漏水、电力等）； 5.远程诊断和故障快速定位； 二、评审标准 1.完整性：方案须全面合理，架构完整，对评审内容中的各项要求有详细描述； 2.可实施性：切合本项目实际情况，实施步骤清晰、合理； 3.针对性：方案能够紧扣本项目所维修设备等实际情况，内容科学合理。 三、赋分依据（15分） 上述5项评审内容全部满足评审标准得15分；每有一个评审内容缺项扣3分，扣完为止；每有一项评审内容存在缺陷，扣0.1-3分。 说明：缺陷是指内容没有结合项目实际需求、虽有内容但不完善、内容表述前后不一致或与项目需求不匹配及其他不利于项目实施的等任意一种情形。 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机房整治方案</w:t>
            </w:r>
          </w:p>
        </w:tc>
        <w:tc>
          <w:tcPr>
            <w:tcW w:type="dxa" w:w="2492"/>
          </w:tcPr>
          <w:p>
            <w:pPr>
              <w:pStyle w:val="null3"/>
            </w:pPr>
            <w:r>
              <w:rPr>
                <w:rFonts w:ascii="仿宋_GB2312" w:hAnsi="仿宋_GB2312" w:cs="仿宋_GB2312" w:eastAsia="仿宋_GB2312"/>
              </w:rPr>
              <w:t>一、评审内容 根据供应商提供的机房整治方案进行评审：1.机线整治情况；2.拓扑标签完善、弱电间规范情况； 二、评审标准 1.完整性：方案须全面合理，架构完整，对评审内容中的各项要求有详细描述； 2.可实施性：切合本项目实际情况，实施步骤清晰、合理； 3.针对性：方案能够紧扣本项目所维修设备等实际情况，内容科学合理。 三、赋分依据（4分） 上述2项评审内容全部满足评审标准得4分；每有一个评审内容缺项扣2分，扣完为止；每有一项评审内容存在缺陷，扣0.1-2分。 说明：缺陷是指内容没有结合项目实际需求、虽有内容但不完善、内容表述前后不一致或与项目需求不匹配及其他不利于项目实施的等任意一种情形。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维保进度保证措施方案</w:t>
            </w:r>
          </w:p>
        </w:tc>
        <w:tc>
          <w:tcPr>
            <w:tcW w:type="dxa" w:w="2492"/>
          </w:tcPr>
          <w:p>
            <w:pPr>
              <w:pStyle w:val="null3"/>
            </w:pPr>
            <w:r>
              <w:rPr>
                <w:rFonts w:ascii="仿宋_GB2312" w:hAnsi="仿宋_GB2312" w:cs="仿宋_GB2312" w:eastAsia="仿宋_GB2312"/>
              </w:rPr>
              <w:t>一、评审内容 根据供应商提供的维保进度保证措施方案进行评审，包含：1.维保进度安排；2.进度保障措施； 3.进度延误应对的及时性； 二、评审标准 1.完整性：方案须全面合理，架构完整，对评审内容中的各项要求有详细描述； 2.可实施性：切合本项目实际情况，实施步骤清晰、合理； 3.针对性：方案能够紧扣本项目所维修设备等实际情况，内容科学合理。 三、赋分依据（6分） 上述3项评审内容全部满足评审标准得6分；每有一个评审内容缺项扣2分，扣完为止；每有一项评审内容存在缺陷，扣0.1-2分。 说明：缺陷是指内容没有结合项目实际需求、虽有内容但不完善、内容表述前后不一致或与项目需求不匹配及其他不利于项目实施的等任意一种情形。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项目人员配备1</w:t>
            </w:r>
          </w:p>
        </w:tc>
        <w:tc>
          <w:tcPr>
            <w:tcW w:type="dxa" w:w="2492"/>
          </w:tcPr>
          <w:p>
            <w:pPr>
              <w:pStyle w:val="null3"/>
            </w:pPr>
            <w:r>
              <w:rPr>
                <w:rFonts w:ascii="仿宋_GB2312" w:hAnsi="仿宋_GB2312" w:cs="仿宋_GB2312" w:eastAsia="仿宋_GB2312"/>
              </w:rPr>
              <w:t>1.项目人员中每有一人有5年及以上工作经验的得1分，此项最多得2分；需提供人员工作经验证明材料及在本单位近6个月内缴纳的任意1个月得社保缴纳证明材料（若未提供社保证明材料，则此项不予计分）。 2.项目人员中每有一人具有信息系统项目管理师证书的得1分；此项最多得3分；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项目人员配备2</w:t>
            </w:r>
          </w:p>
        </w:tc>
        <w:tc>
          <w:tcPr>
            <w:tcW w:type="dxa" w:w="2492"/>
          </w:tcPr>
          <w:p>
            <w:pPr>
              <w:pStyle w:val="null3"/>
            </w:pPr>
            <w:r>
              <w:rPr>
                <w:rFonts w:ascii="仿宋_GB2312" w:hAnsi="仿宋_GB2312" w:cs="仿宋_GB2312" w:eastAsia="仿宋_GB2312"/>
              </w:rPr>
              <w:t>一、评审内容 根据供应商提供的项目人员配备方案进行评审：1.团队组织结构2.职责分明情况；3.人员数量 二、评审标准 1.完整性：方案须全面合理，架构完整，对评审内容中的各项要求有详细描述； 2.可实施性：切合本项目实际情况，实施步骤清晰、合理； 3.针对性：方案能够紧扣本项目所维修设备等实际情况，内容科学合理。 三、赋分依据（3分） 上述3项评审内容全部满足评审标准得3分；每有一个评审内容缺项扣1分，扣完为止；每有一项评审内容存在缺陷，扣0.1-1分。 说明：缺陷是指内容没有结合项目实际需求、虽有内容但不完善、内容表述前后不一致或与项目需求不匹配及其他不利于项目实施的等任意一种情形。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备品备件服务方案</w:t>
            </w:r>
          </w:p>
        </w:tc>
        <w:tc>
          <w:tcPr>
            <w:tcW w:type="dxa" w:w="2492"/>
          </w:tcPr>
          <w:p>
            <w:pPr>
              <w:pStyle w:val="null3"/>
            </w:pPr>
            <w:r>
              <w:rPr>
                <w:rFonts w:ascii="仿宋_GB2312" w:hAnsi="仿宋_GB2312" w:cs="仿宋_GB2312" w:eastAsia="仿宋_GB2312"/>
              </w:rPr>
              <w:t>一、评审内容 根据供应商提供的备品备件服务方案进行评审，包含：1.涉及的备品备件储备情况；2.备品备件储备管理措施；3.备品备件采购渠道管理；4.备品备件供应方案； 二、评审标准 1.完整性：方案须全面合理，架构完整，对评审内容中的各项要求有详细描述； 2.可实施性：切合本项目实际情况，实施步骤清晰、合理； 3.针对性：方案能够紧扣本项目所维修设备等实际情况，内容科学合理。 三、赋分依据（8分） 上述4项评审内容全部满足评审标准得8分；每有一个评审内容缺项扣2分，扣完为止；每有一项评审内容存在缺陷，扣0.1-2分。 说明：缺陷是指内容没有结合项目实际需求、虽有内容但不完善、内容表述前后不一致或与项目需求不匹配及其他不利于项目实施的等任意一种情形。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根据供应商提供的应急预案进行评审，包含：1.设备故障（如UPS宕机、空调停机等）；2.网络中断； 二、评审标准 1.完整性：方案须全面合理，架构完整，对评审内容中的各项要求有详细描述； 2.可实施性：切合本项目实际情况，实施步骤清晰、合理； 3.针对性：方案能够紧扣本项目所维修设备等实际情况，内容科学合理。 三、赋分依据（4分） 上述2项评审内容全部满足评审标准得4分；每有一个评审内容缺项扣2分，扣完为止；每有一项评审内容存在缺陷，扣0.1-2分。 说明：缺陷是指内容没有结合项目实际需求、虽有内容但不完善、内容表述前后不一致或与项目需求不匹配及其他不利于项目实施的等任意一种情形。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根据供应商提供的培训方案进行评审，包含：1.培训人员安排及培训课程计划；2.培训的内容、方式、次数； 二、评审标准 1.完整性：方案须全面合理，架构完整，对评审内容中的各项要求有详细描述； 2.可实施性：切合本项目实际情况，实施步骤清晰、合理； 3.针对性：方案能够紧扣本项目所维修设备等实际情况，内容科学合理。 三、赋分依据（4分） 上述2项评审内容全部满足评审标准得4分；每有一个评审内容缺项扣2分，扣完为止；每有一项评审内容存在缺陷，扣0.1-2分。 说明：缺陷是指内容没有结合项目实际需求、虽有内容但不完善、内容表述前后不一致或与项目需求不匹配及其他不利于项目实施的等任意一种情形。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承诺驻场人员固定，不随意更换，若出现驻场人员因事、病假等不能工作的，须经采购人同意后及时调整其他人员补充，确保服务工作的正常进行的得2分。未提供承诺或承诺内容不全的不得分（提供承诺书，承诺书格式自拟）</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提供供应商自2022年12月1日至今的同类业绩证明材料（以合同签订时间为准），需提供完整的合同扫描件并加盖公章。每提供一份得1分，最高得5分 注：供应商应在响应文件中提供完整业绩合同复印件或扫描件。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详见附件：合同响应偏离表.docx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详见附件：项目服务实施方案.docx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