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版本号：LZBC2026-07120260210001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“文物会说话”项目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LZBC2026-071</w:t>
      </w:r>
      <w:r>
        <w:br/>
      </w:r>
      <w:r>
        <w:br/>
      </w:r>
      <w:r>
        <w:br/>
      </w:r>
    </w:p>
    <w:p>
      <w:pPr>
        <w:pStyle w:val="null3"/>
        <w:jc w:val="center"/>
        <w:outlineLvl w:val="2"/>
      </w:pPr>
      <w:r>
        <w:rPr>
          <w:rFonts w:ascii="仿宋_GB2312" w:hAnsi="仿宋_GB2312" w:cs="仿宋_GB2312" w:eastAsia="仿宋_GB2312"/>
          <w:sz w:val="28"/>
          <w:b/>
        </w:rPr>
        <w:t>西安市文物局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西安市文物局</w:t>
      </w:r>
      <w:r>
        <w:rPr>
          <w:rFonts w:ascii="仿宋_GB2312" w:hAnsi="仿宋_GB2312" w:cs="仿宋_GB2312" w:eastAsia="仿宋_GB2312"/>
        </w:rPr>
        <w:t>委托，拟对</w:t>
      </w:r>
      <w:r>
        <w:rPr>
          <w:rFonts w:ascii="仿宋_GB2312" w:hAnsi="仿宋_GB2312" w:cs="仿宋_GB2312" w:eastAsia="仿宋_GB2312"/>
        </w:rPr>
        <w:t>“文物会说话”项目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LZBC2026-071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“文物会说话”项目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本项目拟对“文物会说话”项目招标项目进行采购，详见招标文件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中华人民共和国境内注册，具有独立承担民事责任能力的法人、其他组织，提供营业执照（或事业法人证或统一社会信用代码的营业执照等），自然人提供身份证明。投标人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投标人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p>
      <w:pPr>
        <w:pStyle w:val="null3"/>
      </w:pPr>
      <w:r>
        <w:rPr>
          <w:rFonts w:ascii="仿宋_GB2312" w:hAnsi="仿宋_GB2312" w:cs="仿宋_GB2312" w:eastAsia="仿宋_GB2312"/>
        </w:rPr>
        <w:t>3、财务审计报告：投标人提供2024或2025年度经审计的财务审计报告（事业法人可提供部门决算报告）；或提供投标人基本开户银行出具的资信证明；或提供专业担保机构出具的投标担保函。投标人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投标人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5、具有履行合同所必需的设备和专业技术能力书面声明函：具有履行合同所必需的设备和专业技术能力书面声明函。投标人需在项目电子化交易系统中按要求上传相应证明文件并进行电子签章。</w:t>
      </w:r>
    </w:p>
    <w:p>
      <w:pPr>
        <w:pStyle w:val="null3"/>
      </w:pPr>
      <w:r>
        <w:rPr>
          <w:rFonts w:ascii="仿宋_GB2312" w:hAnsi="仿宋_GB2312" w:cs="仿宋_GB2312" w:eastAsia="仿宋_GB2312"/>
        </w:rPr>
        <w:t>6、信用查询：投标人未被列入《信用中国》失信被执行人、重大税收违法失信主体、政府采购严重违法失信行为记录名单和《中国政府采购网》政府采购严重违法失信行为记录名单。以投标文件上传截止时间后当日内招标人或招标代理机构的查询结果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西安市文物局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曹佳睿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029-86788211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 格[2002]1980号文件、国家发改委办公厅颁发的《关于采购代理服务收费有关问题的通知》 ( 发改办价格【2003】857号）文件收取，由成交（中标）单位在领取成交（中标）通知书前向受托人支付采购代理服务费用。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西安市文物局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西安市文物局</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西安市文物局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以最终签订合同为准，满足国家及行业相关标准及要求。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地址：陕西省西安市高新区太白南路181号西部电子社区A座A区501室</w:t>
      </w:r>
    </w:p>
    <w:p>
      <w:pPr>
        <w:pStyle w:val="null3"/>
      </w:pPr>
      <w:r>
        <w:rPr>
          <w:rFonts w:ascii="仿宋_GB2312" w:hAnsi="仿宋_GB2312" w:cs="仿宋_GB2312" w:eastAsia="仿宋_GB2312"/>
        </w:rPr>
        <w:t>邮编：7100065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本项目拟对“文物会说话”项目招标项目进行采购，详见采购文件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文物会说话项目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标的名称：文物会说话项目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一、项目概述</w:t>
            </w:r>
          </w:p>
          <w:p>
            <w:pPr>
              <w:pStyle w:val="null3"/>
              <w:ind w:firstLine="420"/>
              <w:jc w:val="both"/>
            </w:pPr>
            <w:r>
              <w:rPr>
                <w:rFonts w:ascii="仿宋_GB2312" w:hAnsi="仿宋_GB2312" w:cs="仿宋_GB2312" w:eastAsia="仿宋_GB2312"/>
                <w:sz w:val="21"/>
              </w:rPr>
              <w:t>2026</w:t>
            </w:r>
            <w:r>
              <w:rPr>
                <w:rFonts w:ascii="仿宋_GB2312" w:hAnsi="仿宋_GB2312" w:cs="仿宋_GB2312" w:eastAsia="仿宋_GB2312"/>
                <w:sz w:val="21"/>
              </w:rPr>
              <w:t>年度西安“文物会说话”项目共举办</w:t>
            </w:r>
            <w:r>
              <w:rPr>
                <w:rFonts w:ascii="仿宋_GB2312" w:hAnsi="仿宋_GB2312" w:cs="仿宋_GB2312" w:eastAsia="仿宋_GB2312"/>
                <w:sz w:val="21"/>
              </w:rPr>
              <w:t>6</w:t>
            </w:r>
            <w:r>
              <w:rPr>
                <w:rFonts w:ascii="仿宋_GB2312" w:hAnsi="仿宋_GB2312" w:cs="仿宋_GB2312" w:eastAsia="仿宋_GB2312"/>
                <w:sz w:val="21"/>
              </w:rPr>
              <w:t>期跨界大讲堂，邀请跨领域专家学者采用“演讲</w:t>
            </w:r>
            <w:r>
              <w:rPr>
                <w:rFonts w:ascii="仿宋_GB2312" w:hAnsi="仿宋_GB2312" w:cs="仿宋_GB2312" w:eastAsia="仿宋_GB2312"/>
                <w:sz w:val="21"/>
              </w:rPr>
              <w:t>+</w:t>
            </w:r>
            <w:r>
              <w:rPr>
                <w:rFonts w:ascii="仿宋_GB2312" w:hAnsi="仿宋_GB2312" w:cs="仿宋_GB2312" w:eastAsia="仿宋_GB2312"/>
                <w:sz w:val="21"/>
              </w:rPr>
              <w:t>演绎</w:t>
            </w:r>
            <w:r>
              <w:rPr>
                <w:rFonts w:ascii="仿宋_GB2312" w:hAnsi="仿宋_GB2312" w:cs="仿宋_GB2312" w:eastAsia="仿宋_GB2312"/>
                <w:sz w:val="21"/>
              </w:rPr>
              <w:t>+</w:t>
            </w:r>
            <w:r>
              <w:rPr>
                <w:rFonts w:ascii="仿宋_GB2312" w:hAnsi="仿宋_GB2312" w:cs="仿宋_GB2312" w:eastAsia="仿宋_GB2312"/>
                <w:sz w:val="21"/>
              </w:rPr>
              <w:t>互动”形式传播文博知识；创作发布</w:t>
            </w:r>
            <w:r>
              <w:rPr>
                <w:rFonts w:ascii="仿宋_GB2312" w:hAnsi="仿宋_GB2312" w:cs="仿宋_GB2312" w:eastAsia="仿宋_GB2312"/>
                <w:sz w:val="21"/>
              </w:rPr>
              <w:t>82</w:t>
            </w:r>
            <w:r>
              <w:rPr>
                <w:rFonts w:ascii="仿宋_GB2312" w:hAnsi="仿宋_GB2312" w:cs="仿宋_GB2312" w:eastAsia="仿宋_GB2312"/>
                <w:sz w:val="21"/>
              </w:rPr>
              <w:t>条涵盖城市宣传、文物解读、人物纪实、日常科普的主题微视频；筹办讲解员职业技能、文物修复技术、文创产品开发推广</w:t>
            </w:r>
            <w:r>
              <w:rPr>
                <w:rFonts w:ascii="仿宋_GB2312" w:hAnsi="仿宋_GB2312" w:cs="仿宋_GB2312" w:eastAsia="仿宋_GB2312"/>
                <w:sz w:val="21"/>
              </w:rPr>
              <w:t>3</w:t>
            </w:r>
            <w:r>
              <w:rPr>
                <w:rFonts w:ascii="仿宋_GB2312" w:hAnsi="仿宋_GB2312" w:cs="仿宋_GB2312" w:eastAsia="仿宋_GB2312"/>
                <w:sz w:val="21"/>
              </w:rPr>
              <w:t>场专业赛事；开展</w:t>
            </w:r>
            <w:r>
              <w:rPr>
                <w:rFonts w:ascii="仿宋_GB2312" w:hAnsi="仿宋_GB2312" w:cs="仿宋_GB2312" w:eastAsia="仿宋_GB2312"/>
                <w:sz w:val="21"/>
              </w:rPr>
              <w:t>6</w:t>
            </w:r>
            <w:r>
              <w:rPr>
                <w:rFonts w:ascii="仿宋_GB2312" w:hAnsi="仿宋_GB2312" w:cs="仿宋_GB2312" w:eastAsia="仿宋_GB2312"/>
                <w:sz w:val="21"/>
              </w:rPr>
              <w:t>场“博物馆</w:t>
            </w:r>
            <w:r>
              <w:rPr>
                <w:rFonts w:ascii="仿宋_GB2312" w:hAnsi="仿宋_GB2312" w:cs="仿宋_GB2312" w:eastAsia="仿宋_GB2312"/>
                <w:sz w:val="21"/>
              </w:rPr>
              <w:t>+</w:t>
            </w:r>
            <w:r>
              <w:rPr>
                <w:rFonts w:ascii="仿宋_GB2312" w:hAnsi="仿宋_GB2312" w:cs="仿宋_GB2312" w:eastAsia="仿宋_GB2312"/>
                <w:sz w:val="21"/>
              </w:rPr>
              <w:t>”新场景展示暨消费体验活动，推动文物走进地铁、商圈等公共空间；同时构建“线上</w:t>
            </w:r>
            <w:r>
              <w:rPr>
                <w:rFonts w:ascii="仿宋_GB2312" w:hAnsi="仿宋_GB2312" w:cs="仿宋_GB2312" w:eastAsia="仿宋_GB2312"/>
                <w:sz w:val="21"/>
              </w:rPr>
              <w:t>+</w:t>
            </w:r>
            <w:r>
              <w:rPr>
                <w:rFonts w:ascii="仿宋_GB2312" w:hAnsi="仿宋_GB2312" w:cs="仿宋_GB2312" w:eastAsia="仿宋_GB2312"/>
                <w:sz w:val="21"/>
              </w:rPr>
              <w:t>线下”一体化融媒传播矩阵，依托流量平台、主流媒体及线下广告实现总曝光量不低于</w:t>
            </w:r>
            <w:r>
              <w:rPr>
                <w:rFonts w:ascii="仿宋_GB2312" w:hAnsi="仿宋_GB2312" w:cs="仿宋_GB2312" w:eastAsia="仿宋_GB2312"/>
                <w:sz w:val="21"/>
              </w:rPr>
              <w:t>1000</w:t>
            </w:r>
            <w:r>
              <w:rPr>
                <w:rFonts w:ascii="仿宋_GB2312" w:hAnsi="仿宋_GB2312" w:cs="仿宋_GB2312" w:eastAsia="仿宋_GB2312"/>
                <w:sz w:val="21"/>
              </w:rPr>
              <w:t>万次传播目标，旨在打造具有全国影响力的城市文化</w:t>
            </w:r>
            <w:r>
              <w:rPr>
                <w:rFonts w:ascii="仿宋_GB2312" w:hAnsi="仿宋_GB2312" w:cs="仿宋_GB2312" w:eastAsia="仿宋_GB2312"/>
                <w:sz w:val="21"/>
              </w:rPr>
              <w:t>IP</w:t>
            </w:r>
            <w:r>
              <w:rPr>
                <w:rFonts w:ascii="仿宋_GB2312" w:hAnsi="仿宋_GB2312" w:cs="仿宋_GB2312" w:eastAsia="仿宋_GB2312"/>
                <w:sz w:val="21"/>
              </w:rPr>
              <w:t>，助力西安“博物馆城”建设，践行新时代文化使命。项目资金预算</w:t>
            </w:r>
            <w:r>
              <w:rPr>
                <w:rFonts w:ascii="仿宋_GB2312" w:hAnsi="仿宋_GB2312" w:cs="仿宋_GB2312" w:eastAsia="仿宋_GB2312"/>
                <w:sz w:val="21"/>
              </w:rPr>
              <w:t>300</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具体内容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、长安讲坛：构建数字科技、现场剧目、</w:t>
            </w:r>
            <w:r>
              <w:rPr>
                <w:rFonts w:ascii="仿宋_GB2312" w:hAnsi="仿宋_GB2312" w:cs="仿宋_GB2312" w:eastAsia="仿宋_GB2312"/>
                <w:sz w:val="21"/>
              </w:rPr>
              <w:t>XR</w:t>
            </w:r>
            <w:r>
              <w:rPr>
                <w:rFonts w:ascii="仿宋_GB2312" w:hAnsi="仿宋_GB2312" w:cs="仿宋_GB2312" w:eastAsia="仿宋_GB2312"/>
                <w:sz w:val="21"/>
              </w:rPr>
              <w:t>技术为一体的多元文化传播场景（不少于</w:t>
            </w:r>
            <w:r>
              <w:rPr>
                <w:rFonts w:ascii="仿宋_GB2312" w:hAnsi="仿宋_GB2312" w:cs="仿宋_GB2312" w:eastAsia="仿宋_GB2312"/>
                <w:sz w:val="21"/>
              </w:rPr>
              <w:t>6</w:t>
            </w:r>
            <w:r>
              <w:rPr>
                <w:rFonts w:ascii="仿宋_GB2312" w:hAnsi="仿宋_GB2312" w:cs="仿宋_GB2312" w:eastAsia="仿宋_GB2312"/>
                <w:sz w:val="21"/>
              </w:rPr>
              <w:t>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518</w:t>
            </w:r>
            <w:r>
              <w:rPr>
                <w:rFonts w:ascii="仿宋_GB2312" w:hAnsi="仿宋_GB2312" w:cs="仿宋_GB2312" w:eastAsia="仿宋_GB2312"/>
                <w:sz w:val="21"/>
              </w:rPr>
              <w:t>国际博物馆日和中国文化遗产日主题宣传视频拍摄制作（不少于</w:t>
            </w:r>
            <w:r>
              <w:rPr>
                <w:rFonts w:ascii="仿宋_GB2312" w:hAnsi="仿宋_GB2312" w:cs="仿宋_GB2312" w:eastAsia="仿宋_GB2312"/>
                <w:sz w:val="21"/>
              </w:rPr>
              <w:t>2</w:t>
            </w:r>
            <w:r>
              <w:rPr>
                <w:rFonts w:ascii="仿宋_GB2312" w:hAnsi="仿宋_GB2312" w:cs="仿宋_GB2312" w:eastAsia="仿宋_GB2312"/>
                <w:sz w:val="21"/>
              </w:rPr>
              <w:t>条，每条时长不少于</w:t>
            </w:r>
            <w:r>
              <w:rPr>
                <w:rFonts w:ascii="仿宋_GB2312" w:hAnsi="仿宋_GB2312" w:cs="仿宋_GB2312" w:eastAsia="仿宋_GB2312"/>
                <w:sz w:val="21"/>
              </w:rPr>
              <w:t>5</w:t>
            </w:r>
            <w:r>
              <w:rPr>
                <w:rFonts w:ascii="仿宋_GB2312" w:hAnsi="仿宋_GB2312" w:cs="仿宋_GB2312" w:eastAsia="仿宋_GB2312"/>
                <w:sz w:val="21"/>
              </w:rPr>
              <w:t>分钟），</w:t>
            </w:r>
            <w:r>
              <w:rPr>
                <w:rFonts w:ascii="仿宋_GB2312" w:hAnsi="仿宋_GB2312" w:cs="仿宋_GB2312" w:eastAsia="仿宋_GB2312"/>
                <w:sz w:val="21"/>
              </w:rPr>
              <w:t>518</w:t>
            </w:r>
            <w:r>
              <w:rPr>
                <w:rFonts w:ascii="仿宋_GB2312" w:hAnsi="仿宋_GB2312" w:cs="仿宋_GB2312" w:eastAsia="仿宋_GB2312"/>
                <w:sz w:val="21"/>
              </w:rPr>
              <w:t>国际博物馆日和中国文化遗产日现场图片直播。</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、文物深度解读短视频（不少于</w:t>
            </w:r>
            <w:r>
              <w:rPr>
                <w:rFonts w:ascii="仿宋_GB2312" w:hAnsi="仿宋_GB2312" w:cs="仿宋_GB2312" w:eastAsia="仿宋_GB2312"/>
                <w:sz w:val="21"/>
              </w:rPr>
              <w:t>15</w:t>
            </w:r>
            <w:r>
              <w:rPr>
                <w:rFonts w:ascii="仿宋_GB2312" w:hAnsi="仿宋_GB2312" w:cs="仿宋_GB2312" w:eastAsia="仿宋_GB2312"/>
                <w:sz w:val="21"/>
              </w:rPr>
              <w:t>期，每期不少于</w:t>
            </w:r>
            <w:r>
              <w:rPr>
                <w:rFonts w:ascii="仿宋_GB2312" w:hAnsi="仿宋_GB2312" w:cs="仿宋_GB2312" w:eastAsia="仿宋_GB2312"/>
                <w:sz w:val="21"/>
              </w:rPr>
              <w:t>3</w:t>
            </w:r>
            <w:r>
              <w:rPr>
                <w:rFonts w:ascii="仿宋_GB2312" w:hAnsi="仿宋_GB2312" w:cs="仿宋_GB2312" w:eastAsia="仿宋_GB2312"/>
                <w:sz w:val="21"/>
              </w:rPr>
              <w:t>分钟 ）</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、人物纪实短视频（不少于</w:t>
            </w:r>
            <w:r>
              <w:rPr>
                <w:rFonts w:ascii="仿宋_GB2312" w:hAnsi="仿宋_GB2312" w:cs="仿宋_GB2312" w:eastAsia="仿宋_GB2312"/>
                <w:sz w:val="21"/>
              </w:rPr>
              <w:t>15</w:t>
            </w:r>
            <w:r>
              <w:rPr>
                <w:rFonts w:ascii="仿宋_GB2312" w:hAnsi="仿宋_GB2312" w:cs="仿宋_GB2312" w:eastAsia="仿宋_GB2312"/>
                <w:sz w:val="21"/>
              </w:rPr>
              <w:t>期，每期不少于</w:t>
            </w:r>
            <w:r>
              <w:rPr>
                <w:rFonts w:ascii="仿宋_GB2312" w:hAnsi="仿宋_GB2312" w:cs="仿宋_GB2312" w:eastAsia="仿宋_GB2312"/>
                <w:sz w:val="21"/>
              </w:rPr>
              <w:t>3</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、微短视频（不少于</w:t>
            </w:r>
            <w:r>
              <w:rPr>
                <w:rFonts w:ascii="仿宋_GB2312" w:hAnsi="仿宋_GB2312" w:cs="仿宋_GB2312" w:eastAsia="仿宋_GB2312"/>
                <w:sz w:val="21"/>
              </w:rPr>
              <w:t>50</w:t>
            </w:r>
            <w:r>
              <w:rPr>
                <w:rFonts w:ascii="仿宋_GB2312" w:hAnsi="仿宋_GB2312" w:cs="仿宋_GB2312" w:eastAsia="仿宋_GB2312"/>
                <w:sz w:val="21"/>
              </w:rPr>
              <w:t>期，每期不少于</w:t>
            </w:r>
            <w:r>
              <w:rPr>
                <w:rFonts w:ascii="仿宋_GB2312" w:hAnsi="仿宋_GB2312" w:cs="仿宋_GB2312" w:eastAsia="仿宋_GB2312"/>
                <w:sz w:val="21"/>
              </w:rPr>
              <w:t>1</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、声传文脉·讲解员职业技能大赛</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、技承千年·文物修复技能大赛</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、艺创瑰宝·文创产品开发推广大赛</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、新场景展示活动不少于</w:t>
            </w:r>
            <w:r>
              <w:rPr>
                <w:rFonts w:ascii="仿宋_GB2312" w:hAnsi="仿宋_GB2312" w:cs="仿宋_GB2312" w:eastAsia="仿宋_GB2312"/>
                <w:sz w:val="21"/>
              </w:rPr>
              <w:t>6</w:t>
            </w:r>
            <w:r>
              <w:rPr>
                <w:rFonts w:ascii="仿宋_GB2312" w:hAnsi="仿宋_GB2312" w:cs="仿宋_GB2312" w:eastAsia="仿宋_GB2312"/>
                <w:sz w:val="21"/>
              </w:rPr>
              <w:t>场（地铁、商圈等）</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、系统化融媒传播（大讲堂前宣、二次宣传、地铁宣传、主流媒体稿件宣传、大讲堂季度回顾视频拍摄剪辑发布）</w:t>
            </w:r>
          </w:p>
          <w:p>
            <w:pPr>
              <w:pStyle w:val="null3"/>
              <w:jc w:val="both"/>
            </w:pPr>
            <w:r>
              <w:rPr>
                <w:rFonts w:ascii="仿宋_GB2312" w:hAnsi="仿宋_GB2312" w:cs="仿宋_GB2312" w:eastAsia="仿宋_GB2312"/>
                <w:sz w:val="21"/>
              </w:rPr>
              <w:t>三、服务要求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、视频</w:t>
            </w:r>
          </w:p>
          <w:p>
            <w:pPr>
              <w:pStyle w:val="null3"/>
              <w:jc w:val="both"/>
            </w:pPr>
            <w:r>
              <w:rPr>
                <w:rFonts w:ascii="仿宋_GB2312" w:hAnsi="仿宋_GB2312" w:cs="仿宋_GB2312" w:eastAsia="仿宋_GB2312"/>
                <w:sz w:val="21"/>
              </w:rPr>
              <w:t>以</w:t>
            </w:r>
            <w:r>
              <w:rPr>
                <w:rFonts w:ascii="仿宋_GB2312" w:hAnsi="仿宋_GB2312" w:cs="仿宋_GB2312" w:eastAsia="仿宋_GB2312"/>
                <w:sz w:val="21"/>
              </w:rPr>
              <w:t>“西安文物”融媒矩阵为核心枢纽，统筹内容生产、技术应用与全媒传播三大板块，构建“内容</w:t>
            </w:r>
            <w:r>
              <w:rPr>
                <w:rFonts w:ascii="仿宋_GB2312" w:hAnsi="仿宋_GB2312" w:cs="仿宋_GB2312" w:eastAsia="仿宋_GB2312"/>
                <w:sz w:val="21"/>
              </w:rPr>
              <w:t>+</w:t>
            </w:r>
            <w:r>
              <w:rPr>
                <w:rFonts w:ascii="仿宋_GB2312" w:hAnsi="仿宋_GB2312" w:cs="仿宋_GB2312" w:eastAsia="仿宋_GB2312"/>
                <w:sz w:val="21"/>
              </w:rPr>
              <w:t>科技</w:t>
            </w:r>
            <w:r>
              <w:rPr>
                <w:rFonts w:ascii="仿宋_GB2312" w:hAnsi="仿宋_GB2312" w:cs="仿宋_GB2312" w:eastAsia="仿宋_GB2312"/>
                <w:sz w:val="21"/>
              </w:rPr>
              <w:t>+</w:t>
            </w:r>
            <w:r>
              <w:rPr>
                <w:rFonts w:ascii="仿宋_GB2312" w:hAnsi="仿宋_GB2312" w:cs="仿宋_GB2312" w:eastAsia="仿宋_GB2312"/>
                <w:sz w:val="21"/>
              </w:rPr>
              <w:t>互动”一体化服务体系：深度整合西安历史文化资源，挖掘文物背后的故事，以文物为媒阐释好中华优秀传统文化，推出文物会说话、文物讲解员等系列视频，用鲜活的语言和形式传播好西安文物声音，推动文物保护利用与公众参与深度融合，全面提升西安文物传播的全国覆盖面与国际影响力，打造全国文物宣传标杆与数字化文化传播高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、讲坛</w:t>
            </w:r>
          </w:p>
          <w:p>
            <w:pPr>
              <w:pStyle w:val="null3"/>
              <w:jc w:val="both"/>
            </w:pPr>
            <w:r>
              <w:rPr>
                <w:rFonts w:ascii="仿宋_GB2312" w:hAnsi="仿宋_GB2312" w:cs="仿宋_GB2312" w:eastAsia="仿宋_GB2312"/>
                <w:sz w:val="21"/>
              </w:rPr>
              <w:t>需围绕</w:t>
            </w:r>
            <w:r>
              <w:rPr>
                <w:rFonts w:ascii="仿宋_GB2312" w:hAnsi="仿宋_GB2312" w:cs="仿宋_GB2312" w:eastAsia="仿宋_GB2312"/>
                <w:sz w:val="21"/>
              </w:rPr>
              <w:t>“文物会说话” 核心创意，以“科技</w:t>
            </w:r>
            <w:r>
              <w:rPr>
                <w:rFonts w:ascii="仿宋_GB2312" w:hAnsi="仿宋_GB2312" w:cs="仿宋_GB2312" w:eastAsia="仿宋_GB2312"/>
                <w:sz w:val="21"/>
              </w:rPr>
              <w:t>+</w:t>
            </w:r>
            <w:r>
              <w:rPr>
                <w:rFonts w:ascii="仿宋_GB2312" w:hAnsi="仿宋_GB2312" w:cs="仿宋_GB2312" w:eastAsia="仿宋_GB2312"/>
                <w:sz w:val="21"/>
              </w:rPr>
              <w:t>文化</w:t>
            </w:r>
            <w:r>
              <w:rPr>
                <w:rFonts w:ascii="仿宋_GB2312" w:hAnsi="仿宋_GB2312" w:cs="仿宋_GB2312" w:eastAsia="仿宋_GB2312"/>
                <w:sz w:val="21"/>
              </w:rPr>
              <w:t>+</w:t>
            </w:r>
            <w:r>
              <w:rPr>
                <w:rFonts w:ascii="仿宋_GB2312" w:hAnsi="仿宋_GB2312" w:cs="仿宋_GB2312" w:eastAsia="仿宋_GB2312"/>
                <w:sz w:val="21"/>
              </w:rPr>
              <w:t>传播”三位一体为框架，提供学术支撑、技术落地、传播联动、执行保障全流程服务：对接周秦汉唐史、丝路文明等领域权威专家与高校学者，完成内容学术审核与主题脉络梳理，确保文化内涵准确；统筹</w:t>
            </w:r>
            <w:r>
              <w:rPr>
                <w:rFonts w:ascii="仿宋_GB2312" w:hAnsi="仿宋_GB2312" w:cs="仿宋_GB2312" w:eastAsia="仿宋_GB2312"/>
                <w:sz w:val="21"/>
              </w:rPr>
              <w:t xml:space="preserve">XR </w:t>
            </w:r>
            <w:r>
              <w:rPr>
                <w:rFonts w:ascii="仿宋_GB2312" w:hAnsi="仿宋_GB2312" w:cs="仿宋_GB2312" w:eastAsia="仿宋_GB2312"/>
                <w:sz w:val="21"/>
              </w:rPr>
              <w:t>虚拟拍摄、</w:t>
            </w:r>
            <w:r>
              <w:rPr>
                <w:rFonts w:ascii="仿宋_GB2312" w:hAnsi="仿宋_GB2312" w:cs="仿宋_GB2312" w:eastAsia="仿宋_GB2312"/>
                <w:sz w:val="21"/>
              </w:rPr>
              <w:t>3D</w:t>
            </w:r>
            <w:r>
              <w:rPr>
                <w:rFonts w:ascii="仿宋_GB2312" w:hAnsi="仿宋_GB2312" w:cs="仿宋_GB2312" w:eastAsia="仿宋_GB2312"/>
                <w:sz w:val="21"/>
              </w:rPr>
              <w:t>全息投影、</w:t>
            </w:r>
            <w:r>
              <w:rPr>
                <w:rFonts w:ascii="仿宋_GB2312" w:hAnsi="仿宋_GB2312" w:cs="仿宋_GB2312" w:eastAsia="仿宋_GB2312"/>
                <w:sz w:val="21"/>
              </w:rPr>
              <w:t>AI</w:t>
            </w:r>
            <w:r>
              <w:rPr>
                <w:rFonts w:ascii="仿宋_GB2312" w:hAnsi="仿宋_GB2312" w:cs="仿宋_GB2312" w:eastAsia="仿宋_GB2312"/>
                <w:sz w:val="21"/>
              </w:rPr>
              <w:t xml:space="preserve">数字人交互等技术团队，保障沉浸式舞台搭建与现场技术稳定运行。联动大屏小屏与线下渠道，适配年轻化表达与国际传播需求，打造融媒传播矩阵。推动文物故事通过科技手段实现跨时空表达，打造兼具思想深度与传播广度的沉浸式文化 </w:t>
            </w:r>
            <w:r>
              <w:rPr>
                <w:rFonts w:ascii="仿宋_GB2312" w:hAnsi="仿宋_GB2312" w:cs="仿宋_GB2312" w:eastAsia="仿宋_GB2312"/>
                <w:sz w:val="21"/>
              </w:rPr>
              <w:t>IP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、赛事、展示活动及配套宣传</w:t>
            </w:r>
          </w:p>
          <w:p>
            <w:pPr>
              <w:pStyle w:val="null3"/>
              <w:jc w:val="both"/>
            </w:pPr>
            <w:r>
              <w:rPr>
                <w:rFonts w:ascii="仿宋_GB2312" w:hAnsi="仿宋_GB2312" w:cs="仿宋_GB2312" w:eastAsia="仿宋_GB2312"/>
                <w:sz w:val="21"/>
              </w:rPr>
              <w:t>实施线上线下相结合的全方位宣传策略。线上传播涵盖主流媒体与新媒体平台，扩大宣传范围；线下广告宣传要求设计创意主题及相关宣传物料，精准投放于人流量大的公共场所，提升宣传效果。宣传内容包含但不限于活动预告、活动回顾、活动直播、项目信息、成果展示等，形成持续且有影响力的传播效果。</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年度目标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成立西安市文物局融媒体平台建设小组</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完成平台整合、团队建设工作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优化微信公众号平台、视频号平台</w:t>
            </w:r>
            <w:r>
              <w:rPr>
                <w:rFonts w:ascii="仿宋_GB2312" w:hAnsi="仿宋_GB2312" w:cs="仿宋_GB2312" w:eastAsia="仿宋_GB2312"/>
                <w:sz w:val="21"/>
              </w:rPr>
              <w:t>等平台账号</w:t>
            </w:r>
            <w:r>
              <w:rPr>
                <w:rFonts w:ascii="仿宋_GB2312" w:hAnsi="仿宋_GB2312" w:cs="仿宋_GB2312" w:eastAsia="仿宋_GB2312"/>
                <w:sz w:val="21"/>
              </w:rPr>
              <w:t>，建立全市文物宣传稿库和视频数据库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建成</w:t>
            </w:r>
            <w:r>
              <w:rPr>
                <w:rFonts w:ascii="仿宋_GB2312" w:hAnsi="仿宋_GB2312" w:cs="仿宋_GB2312" w:eastAsia="仿宋_GB2312"/>
                <w:sz w:val="21"/>
              </w:rPr>
              <w:t>“</w:t>
            </w:r>
            <w:r>
              <w:rPr>
                <w:rFonts w:ascii="仿宋_GB2312" w:hAnsi="仿宋_GB2312" w:cs="仿宋_GB2312" w:eastAsia="仿宋_GB2312"/>
                <w:sz w:val="21"/>
              </w:rPr>
              <w:t>全市文物宣传一盘棋</w:t>
            </w:r>
            <w:r>
              <w:rPr>
                <w:rFonts w:ascii="仿宋_GB2312" w:hAnsi="仿宋_GB2312" w:cs="仿宋_GB2312" w:eastAsia="仿宋_GB2312"/>
                <w:sz w:val="21"/>
              </w:rPr>
              <w:t>”</w:t>
            </w:r>
            <w:r>
              <w:rPr>
                <w:rFonts w:ascii="仿宋_GB2312" w:hAnsi="仿宋_GB2312" w:cs="仿宋_GB2312" w:eastAsia="仿宋_GB2312"/>
                <w:sz w:val="21"/>
              </w:rPr>
              <w:t>体系初步建成具有西安特色的文物宣传体系</w:t>
            </w:r>
            <w:r>
              <w:rPr>
                <w:rFonts w:ascii="仿宋_GB2312" w:hAnsi="仿宋_GB2312" w:cs="仿宋_GB2312" w:eastAsia="仿宋_GB2312"/>
                <w:sz w:val="21"/>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经甲乙双方协商同意，自合同签订后，乙方向甲方开具等额增值税 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本年度第三季度，乙方向甲方开具等额增值税发票后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项目完成后，经甲方验收合格后乙方开具等额增值税发票后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其他未列明行业。划分标准：从业人员300人以下的为中小微型企业。其中，从业人员100人及以上的为中型企业;从业人员10人及以上的为小型企业;从业人员10人以下的为微型企业。 2. 需要落实的政府采购政策：1）《国务院办公厅关于建立政府强制采购节能产品制度的通知》（国办发〔2007〕51号）；2）《财政部司法部关于政府采购支持监狱企业发展有关问题的通知》（财库〔2014〕68号）；3） 《三部门联合发布关于促进残疾人就业政府采购政策的通知》（财库〔2017〕141号）；4）《财政部 发展改革委生态环境部市场监管总局关于调整优化节能产品、环境标志产品政府采购执行机制的通知》（财库〔2019〕9号）；5）《关于运用政府采购政策支持乡村产业振兴的通知》（财库〔2021〕19号）；6）《政府采购促进中小企业发展管理办法》（财库 〔2020〕46号）；7）陕西省财政厅关于印发《陕西省中小企业政府采购信用融资办法》（陕财办采〔2018〕23号）；8） 《关于进一步加大政府采购支持中小企业力度的通知》（财库〔2022〕19号）；9）《关于扩大政府采购支持绿色建材促进建筑品质提升政策实施范围的通知》（财库〔2022〕35号）。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中华人民共和国境内注册，具有独立承担民事责任能力的法人、其他组织，提供营业执照（或事业法人证或统一社会信用代码的营业执照等），自然人提供身份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投标人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投标人提供2024或2025年度经审计的财务审计报告（事业法人可提供部门决算报告）；或提供投标人基本开户银行出具的资信证明；或提供专业担保机构出具的投标担保函。投标人需在项目电子化交易系统中按要求上传相应证明文件。</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未被列入《信用中国》失信被执行人、重大税收违法失信主体、政府采购严重违法失信行为记录名单和《中国政府采购网》政府采购严重违法失信行为记录名单。以投标文件上传截止时间后当日内招标人或招标代理机构的查询结果为准。</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 依据《关于推动解决政府采购异常低价问题的通知》（财库〔2026〕2号）： （一）政府采购评审中出现下列情形之一的，评审委员会应当启动异常低价投标（响应）审查程序：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2.投标（响应）报价低于通过符合性审查的次低报价供应商投标（响应）报价50%的，即投标（响应）报价&lt;通过符合性审查的次低报价供应商投标（响应）报价×50%； 3.投标（响应）报价低于采购项目最高限价45%的，即投标（响应）报价&lt;采购项目最高限价×45%； 4.评审委员会基于专业判断，认为供应商报价过低，有可能影响产品质量或者不能诚信履约的其他情形。 （二）评审委员会启动异常低价投标（响应）审查后，属于前述第1项至第4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30分钟。其中，属于第3项情形，供应商已随投标（响应）文件一并提交相关书面说明及必要的证明材料的，在评审现场可不再重复提交。 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投标文件签署、签章</w:t>
            </w:r>
          </w:p>
        </w:tc>
        <w:tc>
          <w:tcPr>
            <w:tcW w:type="dxa" w:w="3322"/>
          </w:tcPr>
          <w:p>
            <w:pPr>
              <w:pStyle w:val="null3"/>
            </w:pPr>
            <w:r>
              <w:rPr>
                <w:rFonts w:ascii="仿宋_GB2312" w:hAnsi="仿宋_GB2312" w:cs="仿宋_GB2312" w:eastAsia="仿宋_GB2312"/>
              </w:rPr>
              <w:t>投标文件签署、盖章均按招标文件要求签字、 盖章。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无不符合法律、法规和招标文件规定的其他无效情形。</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根据投标人为本项目提供的服务方案进行评审： 1.选题策划与撰写； 2.设计与美化； 3.日常发布与维护； 4.内容编辑与审核； 5.赛事策划方案； 6.三审三校服务制度； 7.项目宣传方案； 8.应急预案。 完整提供上述8项内容的得32分；每有一项未提供扣4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根据投标人为本项目提供的服务团队进行评审：1.人员组织架构、2. 人员数量及配置、3.人员管理制度。完整提供上述3项内容的得12分；每有一项未提供扣4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服务重难点分析及应对的保障措施</w:t>
            </w:r>
          </w:p>
        </w:tc>
        <w:tc>
          <w:tcPr>
            <w:tcW w:type="dxa" w:w="2492"/>
          </w:tcPr>
          <w:p>
            <w:pPr>
              <w:pStyle w:val="null3"/>
            </w:pPr>
            <w:r>
              <w:rPr>
                <w:rFonts w:ascii="仿宋_GB2312" w:hAnsi="仿宋_GB2312" w:cs="仿宋_GB2312" w:eastAsia="仿宋_GB2312"/>
              </w:rPr>
              <w:t>根据投标人为本项目提供的服务重难点分析及应对的保障措施进行评审：1.重难点分析、2.保障措施。完整提供上述2项内容的得8分；每有一项未提供扣4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设备保障方案</w:t>
            </w:r>
          </w:p>
        </w:tc>
        <w:tc>
          <w:tcPr>
            <w:tcW w:type="dxa" w:w="2492"/>
          </w:tcPr>
          <w:p>
            <w:pPr>
              <w:pStyle w:val="null3"/>
            </w:pPr>
            <w:r>
              <w:rPr>
                <w:rFonts w:ascii="仿宋_GB2312" w:hAnsi="仿宋_GB2312" w:cs="仿宋_GB2312" w:eastAsia="仿宋_GB2312"/>
              </w:rPr>
              <w:t>根据投标人为本项目提供的设备保障方案进行评审：1.设备来源、2.设备型号、3.设备种类及数量。完整提供上述3项内容的得12分；每有一项未提供扣4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根据投标人为本项目提供的服务质量保障方案进行评审： 1.质量保障措施； 2.组织保障方案； 3.项目进度安排。 完整提供上述3项内容的得12分；每有一项未提供扣4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根据投标人为本项目提供的保密承诺及措施进行评审：1.保密措施、2.保密承诺。完整提供上述2项内容的得8分；每有一项未提供扣4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投标人提供自近三年（2023年1月1日至今）类似服务项目业绩，提供合同关键页复印件并加盖投标人公章，日期以合同签订日期为准，每提供一个项目业绩合同得2分，最高得6分。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