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E02B1">
      <w:pPr>
        <w:pStyle w:val="2"/>
        <w:tabs>
          <w:tab w:val="clear" w:pos="567"/>
        </w:tabs>
        <w:spacing w:before="0" w:line="360" w:lineRule="auto"/>
        <w:ind w:firstLine="540" w:firstLineChars="225"/>
        <w:rPr>
          <w:rFonts w:hint="eastAsia" w:ascii="仿宋_GB2312" w:eastAsia="仿宋_GB2312"/>
        </w:rPr>
      </w:pPr>
      <w:r>
        <w:rPr>
          <w:rFonts w:hint="eastAsia" w:ascii="仿宋_GB2312" w:eastAsia="仿宋_GB2312"/>
        </w:rPr>
        <w:t>甲方：（前款所称采购人）     住所：</w:t>
      </w:r>
    </w:p>
    <w:p w14:paraId="098CF82D">
      <w:pPr>
        <w:pStyle w:val="2"/>
        <w:tabs>
          <w:tab w:val="clear" w:pos="567"/>
        </w:tabs>
        <w:spacing w:before="0" w:line="360" w:lineRule="auto"/>
        <w:ind w:firstLine="540" w:firstLineChars="225"/>
        <w:rPr>
          <w:rFonts w:hint="eastAsia" w:ascii="仿宋_GB2312" w:eastAsia="仿宋_GB2312"/>
        </w:rPr>
      </w:pPr>
      <w:r>
        <w:rPr>
          <w:rFonts w:hint="eastAsia" w:ascii="仿宋_GB2312" w:eastAsia="仿宋_GB2312"/>
        </w:rPr>
        <w:t>乙方：（前款所称供应商）     住所：</w:t>
      </w:r>
    </w:p>
    <w:p w14:paraId="7CF851E0">
      <w:pPr>
        <w:pStyle w:val="2"/>
        <w:tabs>
          <w:tab w:val="clear" w:pos="567"/>
        </w:tabs>
        <w:spacing w:before="0" w:line="360" w:lineRule="auto"/>
        <w:ind w:left="-181" w:leftChars="-86" w:firstLine="663" w:firstLineChars="275"/>
        <w:rPr>
          <w:rFonts w:hint="eastAsia" w:ascii="仿宋_GB2312" w:eastAsia="仿宋_GB2312"/>
          <w:b/>
        </w:rPr>
      </w:pPr>
      <w:r>
        <w:rPr>
          <w:rFonts w:hint="eastAsia" w:ascii="仿宋_GB2312" w:eastAsia="仿宋_GB2312"/>
          <w:b/>
        </w:rPr>
        <w:t>一、合同内容</w:t>
      </w:r>
      <w:r>
        <w:rPr>
          <w:rFonts w:hint="eastAsia" w:ascii="仿宋_GB2312" w:hAnsi="仿宋" w:eastAsia="仿宋_GB2312"/>
          <w:sz w:val="28"/>
          <w:szCs w:val="28"/>
        </w:rPr>
        <w:t>（</w:t>
      </w:r>
      <w:r>
        <w:rPr>
          <w:rFonts w:hint="eastAsia" w:ascii="仿宋_GB2312" w:eastAsia="仿宋_GB2312"/>
        </w:rPr>
        <w:t>标的、数量、质量等</w:t>
      </w:r>
      <w:r>
        <w:rPr>
          <w:rFonts w:hint="eastAsia" w:ascii="仿宋_GB2312" w:hAnsi="仿宋" w:eastAsia="仿宋_GB2312"/>
          <w:sz w:val="28"/>
          <w:szCs w:val="28"/>
        </w:rPr>
        <w:t>）</w:t>
      </w:r>
      <w:r>
        <w:rPr>
          <w:rFonts w:hint="eastAsia" w:ascii="仿宋_GB2312" w:eastAsia="仿宋_GB2312"/>
          <w:b/>
        </w:rPr>
        <w:t>:</w:t>
      </w:r>
    </w:p>
    <w:p w14:paraId="4C34902A">
      <w:pPr>
        <w:pStyle w:val="2"/>
        <w:tabs>
          <w:tab w:val="clear" w:pos="567"/>
        </w:tabs>
        <w:spacing w:before="0" w:line="360" w:lineRule="auto"/>
        <w:ind w:left="-181" w:leftChars="-86" w:firstLine="663" w:firstLineChars="275"/>
        <w:rPr>
          <w:rFonts w:hint="eastAsia" w:ascii="仿宋_GB2312" w:eastAsia="仿宋_GB2312"/>
          <w:b/>
        </w:rPr>
      </w:pPr>
      <w:r>
        <w:rPr>
          <w:rFonts w:hint="eastAsia" w:ascii="仿宋_GB2312" w:eastAsia="仿宋_GB2312"/>
          <w:b/>
        </w:rPr>
        <w:t>二、合同价款</w:t>
      </w:r>
    </w:p>
    <w:p w14:paraId="275C1258">
      <w:pPr>
        <w:pStyle w:val="2"/>
        <w:tabs>
          <w:tab w:val="clear" w:pos="567"/>
        </w:tabs>
        <w:spacing w:before="0" w:line="360" w:lineRule="auto"/>
        <w:ind w:left="-181" w:leftChars="-86" w:firstLine="660" w:firstLineChars="275"/>
        <w:rPr>
          <w:rFonts w:hint="eastAsia" w:ascii="仿宋_GB2312" w:eastAsia="仿宋_GB2312"/>
        </w:rPr>
      </w:pPr>
      <w:r>
        <w:rPr>
          <w:rFonts w:hint="eastAsia" w:ascii="仿宋_GB2312" w:eastAsia="仿宋_GB2312"/>
        </w:rPr>
        <w:t>1、合同总价：合同价款为人民币（大写）</w:t>
      </w:r>
      <w:r>
        <w:rPr>
          <w:rFonts w:hint="eastAsia" w:ascii="仿宋_GB2312" w:eastAsia="仿宋_GB2312"/>
          <w:u w:val="single"/>
        </w:rPr>
        <w:t xml:space="preserve">         </w:t>
      </w:r>
      <w:r>
        <w:rPr>
          <w:rFonts w:hint="eastAsia" w:ascii="仿宋_GB2312" w:eastAsia="仿宋_GB2312"/>
        </w:rPr>
        <w:t xml:space="preserve">（¥ </w:t>
      </w:r>
      <w:r>
        <w:rPr>
          <w:rFonts w:hint="eastAsia" w:ascii="仿宋_GB2312" w:eastAsia="仿宋_GB2312"/>
          <w:u w:val="single"/>
        </w:rPr>
        <w:t xml:space="preserve">        </w:t>
      </w:r>
      <w:r>
        <w:rPr>
          <w:rFonts w:hint="eastAsia" w:ascii="仿宋_GB2312" w:eastAsia="仿宋_GB2312"/>
        </w:rPr>
        <w:t xml:space="preserve"> ）。</w:t>
      </w:r>
    </w:p>
    <w:p w14:paraId="1D5149A5">
      <w:pPr>
        <w:pStyle w:val="2"/>
        <w:tabs>
          <w:tab w:val="clear" w:pos="567"/>
        </w:tabs>
        <w:spacing w:before="0" w:line="360" w:lineRule="auto"/>
        <w:ind w:left="-181" w:leftChars="-86" w:firstLine="660" w:firstLineChars="275"/>
        <w:rPr>
          <w:rFonts w:hint="eastAsia" w:ascii="仿宋_GB2312" w:hAnsi="仿宋" w:eastAsia="仿宋_GB2312"/>
        </w:rPr>
      </w:pPr>
      <w:r>
        <w:rPr>
          <w:rFonts w:hint="eastAsia" w:ascii="仿宋_GB2312" w:eastAsia="仿宋_GB2312"/>
        </w:rPr>
        <w:t>2、合同总价包括</w:t>
      </w:r>
      <w:r>
        <w:rPr>
          <w:rFonts w:hint="eastAsia" w:ascii="仿宋_GB2312" w:hAnsi="仿宋" w:eastAsia="仿宋_GB2312"/>
        </w:rPr>
        <w:t>完成服务要求所需的一切费用。</w:t>
      </w:r>
    </w:p>
    <w:p w14:paraId="74F523B2">
      <w:pPr>
        <w:pStyle w:val="2"/>
        <w:tabs>
          <w:tab w:val="clear" w:pos="567"/>
        </w:tabs>
        <w:spacing w:before="0" w:line="360" w:lineRule="auto"/>
        <w:ind w:left="-181" w:leftChars="-86" w:firstLine="660" w:firstLineChars="275"/>
        <w:rPr>
          <w:rFonts w:hint="eastAsia" w:ascii="仿宋_GB2312" w:eastAsia="仿宋_GB2312"/>
          <w:b/>
        </w:rPr>
      </w:pPr>
      <w:r>
        <w:rPr>
          <w:rFonts w:hint="eastAsia" w:ascii="仿宋_GB2312" w:eastAsia="仿宋_GB2312"/>
        </w:rPr>
        <w:t>3、合同总价一次包死，不受市场价变化的影响。</w:t>
      </w:r>
    </w:p>
    <w:p w14:paraId="00F1C77F">
      <w:pPr>
        <w:pStyle w:val="2"/>
        <w:tabs>
          <w:tab w:val="clear" w:pos="567"/>
        </w:tabs>
        <w:spacing w:before="0" w:line="360" w:lineRule="auto"/>
        <w:ind w:firstLine="542" w:firstLineChars="225"/>
        <w:rPr>
          <w:rFonts w:hint="eastAsia" w:ascii="仿宋_GB2312" w:eastAsia="仿宋_GB2312"/>
          <w:b/>
        </w:rPr>
      </w:pPr>
      <w:bookmarkStart w:id="0" w:name="_Toc3174"/>
      <w:bookmarkStart w:id="1" w:name="_Toc521307608"/>
      <w:bookmarkStart w:id="2" w:name="_Toc20342"/>
      <w:r>
        <w:rPr>
          <w:rFonts w:hint="eastAsia" w:ascii="仿宋_GB2312" w:eastAsia="仿宋_GB2312"/>
          <w:b/>
        </w:rPr>
        <w:t>三、</w:t>
      </w:r>
      <w:bookmarkEnd w:id="0"/>
      <w:bookmarkEnd w:id="1"/>
      <w:bookmarkEnd w:id="2"/>
      <w:r>
        <w:rPr>
          <w:rFonts w:hint="eastAsia" w:ascii="仿宋_GB2312" w:eastAsia="仿宋_GB2312"/>
          <w:b/>
        </w:rPr>
        <w:t>合同结算</w:t>
      </w:r>
    </w:p>
    <w:p w14:paraId="23B1257A">
      <w:pPr>
        <w:pStyle w:val="2"/>
        <w:tabs>
          <w:tab w:val="clear" w:pos="567"/>
        </w:tabs>
        <w:spacing w:before="0" w:line="360" w:lineRule="auto"/>
        <w:ind w:left="-181" w:leftChars="-86" w:firstLine="660" w:firstLineChars="275"/>
        <w:rPr>
          <w:rFonts w:hint="eastAsia" w:ascii="仿宋_GB2312" w:eastAsia="仿宋_GB2312"/>
        </w:rPr>
      </w:pPr>
      <w:r>
        <w:rPr>
          <w:rFonts w:hint="eastAsia" w:ascii="仿宋_GB2312" w:eastAsia="仿宋_GB2312"/>
        </w:rPr>
        <w:t>1、资金支付条件及时间：</w:t>
      </w:r>
    </w:p>
    <w:p w14:paraId="5B7EE5B6">
      <w:pPr>
        <w:pStyle w:val="2"/>
        <w:tabs>
          <w:tab w:val="clear" w:pos="567"/>
        </w:tabs>
        <w:spacing w:before="0" w:line="360" w:lineRule="auto"/>
        <w:ind w:left="-181" w:leftChars="-86" w:firstLine="660" w:firstLineChars="275"/>
        <w:rPr>
          <w:rFonts w:hint="eastAsia" w:ascii="仿宋_GB2312" w:hAnsi="仿宋" w:eastAsia="仿宋_GB2312"/>
        </w:rPr>
      </w:pPr>
      <w:r>
        <w:rPr>
          <w:rFonts w:hint="eastAsia" w:ascii="仿宋_GB2312" w:hAnsi="仿宋" w:eastAsia="仿宋_GB2312"/>
        </w:rPr>
        <w:t>签订合同后，</w:t>
      </w:r>
      <w:r>
        <w:rPr>
          <w:rFonts w:ascii="仿宋_GB2312" w:hAnsi="仿宋_GB2312" w:eastAsia="仿宋_GB2312" w:cs="仿宋_GB2312"/>
        </w:rPr>
        <w:t>每月末结算一次</w:t>
      </w:r>
      <w:r>
        <w:rPr>
          <w:rFonts w:hint="eastAsia" w:ascii="仿宋_GB2312" w:hAnsi="仿宋" w:eastAsia="仿宋_GB2312"/>
        </w:rPr>
        <w:t>，</w:t>
      </w:r>
      <w:r>
        <w:rPr>
          <w:rFonts w:ascii="仿宋_GB2312" w:hAnsi="仿宋_GB2312" w:eastAsia="仿宋_GB2312" w:cs="仿宋_GB2312"/>
        </w:rPr>
        <w:t>达到付款条件起 30 日内，</w:t>
      </w:r>
      <w:r>
        <w:rPr>
          <w:rFonts w:hint="eastAsia" w:ascii="仿宋_GB2312" w:hAnsi="仿宋" w:eastAsia="仿宋_GB2312"/>
        </w:rPr>
        <w:t>每月支付合同总价的10%。</w:t>
      </w:r>
    </w:p>
    <w:p w14:paraId="63CB772D">
      <w:pPr>
        <w:pStyle w:val="2"/>
        <w:tabs>
          <w:tab w:val="clear" w:pos="567"/>
        </w:tabs>
        <w:spacing w:before="0" w:line="360" w:lineRule="auto"/>
        <w:ind w:left="-181" w:leftChars="-86" w:firstLine="660" w:firstLineChars="275"/>
        <w:rPr>
          <w:rFonts w:hint="eastAsia" w:ascii="仿宋_GB2312" w:eastAsia="仿宋_GB2312"/>
        </w:rPr>
      </w:pPr>
      <w:r>
        <w:rPr>
          <w:rFonts w:hint="eastAsia" w:ascii="仿宋_GB2312" w:eastAsia="仿宋_GB2312"/>
        </w:rPr>
        <w:t>2、结算方式：银行转账。</w:t>
      </w:r>
    </w:p>
    <w:p w14:paraId="56885DD2">
      <w:pPr>
        <w:pStyle w:val="2"/>
        <w:tabs>
          <w:tab w:val="clear" w:pos="567"/>
        </w:tabs>
        <w:spacing w:before="0" w:line="360" w:lineRule="auto"/>
        <w:ind w:left="-181" w:leftChars="-86" w:firstLine="660" w:firstLineChars="275"/>
        <w:rPr>
          <w:rFonts w:hint="eastAsia" w:ascii="仿宋_GB2312" w:eastAsia="仿宋_GB2312"/>
        </w:rPr>
      </w:pPr>
      <w:r>
        <w:rPr>
          <w:rFonts w:hint="eastAsia" w:ascii="仿宋_GB2312" w:eastAsia="仿宋_GB2312"/>
        </w:rPr>
        <w:t>3、结算单位：由</w:t>
      </w:r>
      <w:r>
        <w:rPr>
          <w:rFonts w:hint="eastAsia" w:ascii="仿宋_GB2312" w:eastAsia="仿宋_GB2312"/>
          <w:u w:val="single"/>
        </w:rPr>
        <w:t>甲方</w:t>
      </w:r>
      <w:r>
        <w:rPr>
          <w:rFonts w:hint="eastAsia" w:ascii="仿宋_GB2312" w:eastAsia="仿宋_GB2312"/>
        </w:rPr>
        <w:t>负责结算，乙方开具合同总价数的全额发票交采购人。</w:t>
      </w:r>
    </w:p>
    <w:p w14:paraId="0D0759B8">
      <w:pPr>
        <w:pStyle w:val="2"/>
        <w:tabs>
          <w:tab w:val="clear" w:pos="567"/>
        </w:tabs>
        <w:spacing w:before="0" w:line="360" w:lineRule="auto"/>
        <w:ind w:firstLine="542" w:firstLineChars="225"/>
        <w:rPr>
          <w:rFonts w:hint="eastAsia" w:ascii="仿宋_GB2312" w:eastAsia="仿宋_GB2312"/>
        </w:rPr>
      </w:pPr>
      <w:bookmarkStart w:id="3" w:name="_Toc663"/>
      <w:bookmarkStart w:id="4" w:name="_Toc521307609"/>
      <w:r>
        <w:rPr>
          <w:rFonts w:hint="eastAsia" w:ascii="仿宋_GB2312" w:eastAsia="仿宋_GB2312"/>
          <w:b/>
        </w:rPr>
        <w:t>四</w:t>
      </w:r>
      <w:bookmarkEnd w:id="3"/>
      <w:bookmarkEnd w:id="4"/>
      <w:r>
        <w:rPr>
          <w:rFonts w:hint="eastAsia" w:ascii="仿宋_GB2312" w:eastAsia="仿宋_GB2312"/>
          <w:b/>
        </w:rPr>
        <w:t>、履行期限、地点及方式:</w:t>
      </w:r>
    </w:p>
    <w:p w14:paraId="6EED6790">
      <w:pPr>
        <w:adjustRightInd w:val="0"/>
        <w:snapToGrid w:val="0"/>
        <w:spacing w:line="360" w:lineRule="auto"/>
        <w:ind w:firstLine="480" w:firstLineChars="200"/>
        <w:rPr>
          <w:rFonts w:hint="eastAsia" w:ascii="仿宋_GB2312" w:hAnsi="仿宋" w:eastAsia="仿宋_GB2312"/>
          <w:sz w:val="24"/>
        </w:rPr>
      </w:pPr>
      <w:r>
        <w:rPr>
          <w:rFonts w:hint="eastAsia" w:ascii="仿宋_GB2312" w:hAnsi="仿宋" w:eastAsia="仿宋_GB2312"/>
          <w:sz w:val="24"/>
        </w:rPr>
        <w:t>1、履行期限：2026年12月31日前完成</w:t>
      </w:r>
    </w:p>
    <w:p w14:paraId="6B0E7015">
      <w:pPr>
        <w:adjustRightInd w:val="0"/>
        <w:snapToGrid w:val="0"/>
        <w:spacing w:line="360" w:lineRule="auto"/>
        <w:ind w:firstLine="480" w:firstLineChars="200"/>
        <w:rPr>
          <w:rFonts w:hint="eastAsia" w:ascii="仿宋_GB2312" w:hAnsi="仿宋" w:eastAsia="仿宋_GB2312"/>
          <w:color w:val="auto"/>
          <w:sz w:val="24"/>
        </w:rPr>
      </w:pPr>
      <w:r>
        <w:rPr>
          <w:rFonts w:hint="eastAsia" w:ascii="仿宋_GB2312" w:hAnsi="仿宋" w:eastAsia="仿宋_GB2312"/>
          <w:color w:val="auto"/>
          <w:sz w:val="24"/>
        </w:rPr>
        <w:t>2、地点：窗口工作人员及3名驾驶员履约地点为西安市碑林区友谊东路298号；6名厨师及6名驾驶员履约地点分别位于西安市雁塔区逸翠尚府北区1号楼6单元302；西安市莲湖区枣园西路229号的士广场10楼；西安市碑林区太白北路256号泰华金汇时代2单元10楼；西安市未央区东元路90号天丰东环广场1号楼2单元6层；西安市莲湖区红庙坡路82号雅沁苑2号楼5层。</w:t>
      </w:r>
    </w:p>
    <w:p w14:paraId="2866C89C">
      <w:pPr>
        <w:adjustRightInd w:val="0"/>
        <w:snapToGrid w:val="0"/>
        <w:spacing w:line="360" w:lineRule="auto"/>
        <w:ind w:firstLine="480" w:firstLineChars="200"/>
        <w:rPr>
          <w:rFonts w:ascii="仿宋_GB2312" w:eastAsia="仿宋_GB2312"/>
          <w:sz w:val="24"/>
          <w:lang w:val="zh-CN"/>
        </w:rPr>
      </w:pPr>
      <w:r>
        <w:rPr>
          <w:rFonts w:hint="eastAsia" w:ascii="仿宋_GB2312" w:hAnsi="仿宋" w:eastAsia="仿宋_GB2312"/>
          <w:sz w:val="24"/>
        </w:rPr>
        <w:t>3、方式：按照采购人要求</w:t>
      </w:r>
      <w:r>
        <w:rPr>
          <w:rFonts w:hint="eastAsia" w:ascii="仿宋_GB2312" w:eastAsia="仿宋_GB2312"/>
        </w:rPr>
        <w:t xml:space="preserve">               </w:t>
      </w:r>
    </w:p>
    <w:p w14:paraId="75F133C7">
      <w:pPr>
        <w:adjustRightInd w:val="0"/>
        <w:snapToGrid w:val="0"/>
        <w:spacing w:line="360" w:lineRule="auto"/>
        <w:ind w:firstLine="482" w:firstLineChars="200"/>
        <w:rPr>
          <w:rFonts w:ascii="仿宋_GB2312" w:eastAsia="仿宋_GB2312"/>
          <w:b/>
          <w:sz w:val="24"/>
          <w:lang w:val="zh-CN"/>
        </w:rPr>
      </w:pPr>
      <w:bookmarkStart w:id="5" w:name="_Toc19515388"/>
      <w:r>
        <w:rPr>
          <w:rFonts w:hint="eastAsia" w:ascii="仿宋_GB2312" w:eastAsia="仿宋_GB2312"/>
          <w:b/>
          <w:sz w:val="24"/>
          <w:lang w:val="zh-CN"/>
        </w:rPr>
        <w:t>五、</w:t>
      </w:r>
      <w:bookmarkEnd w:id="5"/>
      <w:r>
        <w:rPr>
          <w:rFonts w:hint="eastAsia" w:ascii="仿宋_GB2312" w:eastAsia="仿宋_GB2312"/>
          <w:b/>
          <w:sz w:val="24"/>
          <w:lang w:val="zh-CN"/>
        </w:rPr>
        <w:t>服务工作要求和质量保证</w:t>
      </w:r>
    </w:p>
    <w:p w14:paraId="7F9412B6">
      <w:pPr>
        <w:adjustRightInd w:val="0"/>
        <w:snapToGrid w:val="0"/>
        <w:spacing w:line="360" w:lineRule="auto"/>
        <w:ind w:firstLine="480" w:firstLineChars="200"/>
        <w:rPr>
          <w:rFonts w:ascii="仿宋_GB2312" w:eastAsia="仿宋_GB2312"/>
          <w:bCs/>
          <w:sz w:val="24"/>
        </w:rPr>
      </w:pPr>
      <w:bookmarkStart w:id="6" w:name="_Toc19515389"/>
      <w:r>
        <w:rPr>
          <w:rFonts w:hint="eastAsia" w:ascii="仿宋_GB2312" w:eastAsia="仿宋_GB2312"/>
          <w:bCs/>
          <w:sz w:val="24"/>
        </w:rPr>
        <w:t>满足磋商文件的服务要求</w:t>
      </w:r>
    </w:p>
    <w:p w14:paraId="7A7A9A9F">
      <w:pPr>
        <w:adjustRightInd w:val="0"/>
        <w:snapToGrid w:val="0"/>
        <w:spacing w:line="360" w:lineRule="auto"/>
        <w:ind w:firstLine="482" w:firstLineChars="200"/>
        <w:rPr>
          <w:rFonts w:ascii="仿宋_GB2312" w:eastAsia="仿宋_GB2312"/>
          <w:b/>
          <w:sz w:val="24"/>
          <w:lang w:val="zh-CN"/>
        </w:rPr>
      </w:pPr>
      <w:r>
        <w:rPr>
          <w:rFonts w:hint="eastAsia" w:ascii="仿宋_GB2312" w:eastAsia="仿宋_GB2312"/>
          <w:b/>
          <w:sz w:val="24"/>
          <w:lang w:val="zh-CN"/>
        </w:rPr>
        <w:t>六、</w:t>
      </w:r>
      <w:bookmarkEnd w:id="6"/>
      <w:r>
        <w:rPr>
          <w:rFonts w:hint="eastAsia" w:ascii="仿宋_GB2312" w:eastAsia="仿宋_GB2312"/>
          <w:b/>
          <w:sz w:val="24"/>
          <w:lang w:val="zh-CN"/>
        </w:rPr>
        <w:t>验收</w:t>
      </w:r>
    </w:p>
    <w:p w14:paraId="2ECDC43B">
      <w:pPr>
        <w:adjustRightInd w:val="0"/>
        <w:snapToGrid w:val="0"/>
        <w:spacing w:line="360" w:lineRule="auto"/>
        <w:ind w:firstLine="480" w:firstLineChars="200"/>
        <w:rPr>
          <w:rFonts w:hint="eastAsia" w:ascii="仿宋_GB2312" w:hAnsi="仿宋" w:eastAsia="仿宋_GB2312"/>
          <w:sz w:val="24"/>
        </w:rPr>
      </w:pPr>
      <w:bookmarkStart w:id="7" w:name="_Toc19515390"/>
      <w:r>
        <w:rPr>
          <w:rFonts w:ascii="仿宋_GB2312" w:hAnsi="仿宋" w:eastAsia="仿宋_GB2312"/>
          <w:sz w:val="24"/>
        </w:rPr>
        <w:t>1</w:t>
      </w:r>
      <w:r>
        <w:rPr>
          <w:rFonts w:hint="eastAsia" w:ascii="仿宋_GB2312" w:hAnsi="仿宋" w:eastAsia="仿宋_GB2312"/>
          <w:sz w:val="24"/>
        </w:rPr>
        <w:t>、验收依据：</w:t>
      </w:r>
    </w:p>
    <w:p w14:paraId="7B2B36A6">
      <w:pPr>
        <w:adjustRightInd w:val="0"/>
        <w:snapToGrid w:val="0"/>
        <w:spacing w:line="360" w:lineRule="auto"/>
        <w:ind w:firstLine="480" w:firstLineChars="200"/>
        <w:rPr>
          <w:rFonts w:hint="eastAsia" w:ascii="仿宋_GB2312" w:hAnsi="仿宋" w:eastAsia="仿宋_GB2312"/>
          <w:sz w:val="24"/>
        </w:rPr>
      </w:pPr>
      <w:r>
        <w:rPr>
          <w:rFonts w:ascii="仿宋_GB2312" w:hAnsi="仿宋" w:eastAsia="仿宋_GB2312"/>
          <w:sz w:val="24"/>
        </w:rPr>
        <w:t>1</w:t>
      </w:r>
      <w:r>
        <w:rPr>
          <w:rFonts w:hint="eastAsia" w:ascii="仿宋_GB2312" w:hAnsi="仿宋" w:eastAsia="仿宋_GB2312"/>
          <w:sz w:val="24"/>
        </w:rPr>
        <w:t>-1、合同文本、合同附件、磋商文件、响应文件。</w:t>
      </w:r>
    </w:p>
    <w:p w14:paraId="14AA9F15">
      <w:pPr>
        <w:adjustRightInd w:val="0"/>
        <w:snapToGrid w:val="0"/>
        <w:spacing w:line="360" w:lineRule="auto"/>
        <w:ind w:firstLine="480" w:firstLineChars="200"/>
        <w:rPr>
          <w:rFonts w:hint="eastAsia" w:ascii="仿宋_GB2312" w:hAnsi="仿宋" w:eastAsia="仿宋_GB2312"/>
          <w:sz w:val="24"/>
        </w:rPr>
      </w:pPr>
      <w:r>
        <w:rPr>
          <w:rFonts w:ascii="仿宋_GB2312" w:hAnsi="仿宋" w:eastAsia="仿宋_GB2312"/>
          <w:sz w:val="24"/>
        </w:rPr>
        <w:t>1</w:t>
      </w:r>
      <w:r>
        <w:rPr>
          <w:rFonts w:hint="eastAsia" w:ascii="仿宋_GB2312" w:hAnsi="仿宋" w:eastAsia="仿宋_GB2312"/>
          <w:sz w:val="24"/>
        </w:rPr>
        <w:t>-2、国内相应的标准、规范。</w:t>
      </w:r>
    </w:p>
    <w:p w14:paraId="00891E65">
      <w:pPr>
        <w:adjustRightInd w:val="0"/>
        <w:snapToGrid w:val="0"/>
        <w:spacing w:line="360" w:lineRule="auto"/>
        <w:ind w:firstLine="482" w:firstLineChars="200"/>
        <w:rPr>
          <w:rFonts w:ascii="仿宋_GB2312" w:eastAsia="仿宋_GB2312"/>
          <w:b/>
          <w:sz w:val="24"/>
          <w:lang w:val="zh-CN"/>
        </w:rPr>
      </w:pPr>
      <w:r>
        <w:rPr>
          <w:rFonts w:hint="eastAsia" w:ascii="仿宋_GB2312" w:eastAsia="仿宋_GB2312"/>
          <w:b/>
          <w:sz w:val="24"/>
          <w:lang w:val="zh-CN"/>
        </w:rPr>
        <w:t>七、</w:t>
      </w:r>
      <w:bookmarkEnd w:id="7"/>
      <w:r>
        <w:rPr>
          <w:rFonts w:ascii="仿宋_GB2312" w:eastAsia="仿宋_GB2312"/>
          <w:b/>
          <w:sz w:val="24"/>
          <w:lang w:val="zh-CN"/>
        </w:rPr>
        <w:t>甲方的权利和义务</w:t>
      </w:r>
    </w:p>
    <w:p w14:paraId="3DB53582">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1、甲方按合同规定监督乙方依法经营、认真履行合同，同时做好指导和协调工作。</w:t>
      </w:r>
    </w:p>
    <w:p w14:paraId="1C63D847">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2、向乙方提供服务所需的必要条件（如车辆存放地点、工具存放间、设施设备说明书等），并告知甲方内部管理规定。</w:t>
      </w:r>
    </w:p>
    <w:p w14:paraId="679B5D92">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依照合同约定向乙方支付服务费及其他本合同约定应当由甲方承担的费用。</w:t>
      </w:r>
    </w:p>
    <w:p w14:paraId="1E9F3387">
      <w:pPr>
        <w:adjustRightInd w:val="0"/>
        <w:snapToGrid w:val="0"/>
        <w:spacing w:line="360" w:lineRule="auto"/>
        <w:ind w:firstLine="482" w:firstLineChars="200"/>
        <w:rPr>
          <w:rFonts w:ascii="仿宋_GB2312" w:eastAsia="仿宋_GB2312"/>
          <w:b/>
          <w:sz w:val="24"/>
          <w:lang w:val="zh-CN"/>
        </w:rPr>
      </w:pPr>
      <w:r>
        <w:rPr>
          <w:rFonts w:hint="eastAsia" w:ascii="仿宋_GB2312" w:eastAsia="仿宋_GB2312"/>
          <w:b/>
          <w:sz w:val="24"/>
          <w:lang w:val="zh-CN"/>
        </w:rPr>
        <w:t>八、</w:t>
      </w:r>
      <w:r>
        <w:rPr>
          <w:rFonts w:ascii="仿宋_GB2312" w:eastAsia="仿宋_GB2312"/>
          <w:b/>
          <w:sz w:val="24"/>
          <w:lang w:val="zh-CN"/>
        </w:rPr>
        <w:t>乙方的权利和义务</w:t>
      </w:r>
    </w:p>
    <w:p w14:paraId="4B18AFB6">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1、按照本合同提供服务，确保服务人员具备相应资质（详见磋商文件人员要求）。</w:t>
      </w:r>
    </w:p>
    <w:p w14:paraId="7BF99D20">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2、对服务过程中知悉的甲方商业秘密、内部信息承担保密义务。</w:t>
      </w:r>
    </w:p>
    <w:p w14:paraId="42795EF3">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服务人员因工作原因造成甲方或第三方人身、财产损失的，由乙方承担赔偿责任（因甲方过错导致的除外）。</w:t>
      </w:r>
    </w:p>
    <w:p w14:paraId="5B01DDF4">
      <w:pPr>
        <w:adjustRightInd w:val="0"/>
        <w:snapToGrid w:val="0"/>
        <w:spacing w:line="360" w:lineRule="auto"/>
        <w:ind w:firstLine="482" w:firstLineChars="200"/>
        <w:rPr>
          <w:rFonts w:ascii="仿宋_GB2312" w:eastAsia="仿宋_GB2312"/>
          <w:b/>
          <w:sz w:val="24"/>
          <w:lang w:val="zh-CN"/>
        </w:rPr>
      </w:pPr>
      <w:bookmarkStart w:id="8" w:name="_Toc19515391"/>
      <w:r>
        <w:rPr>
          <w:rFonts w:hint="eastAsia" w:ascii="仿宋_GB2312" w:eastAsia="仿宋_GB2312"/>
          <w:b/>
          <w:sz w:val="24"/>
          <w:lang w:val="zh-CN"/>
        </w:rPr>
        <w:t>九、</w:t>
      </w:r>
      <w:bookmarkEnd w:id="8"/>
      <w:bookmarkStart w:id="9" w:name="_Toc19515392"/>
      <w:r>
        <w:rPr>
          <w:rFonts w:hint="eastAsia" w:ascii="仿宋_GB2312" w:eastAsia="仿宋_GB2312"/>
          <w:b/>
          <w:sz w:val="24"/>
          <w:lang w:val="zh-CN"/>
        </w:rPr>
        <w:t>违约责任</w:t>
      </w:r>
      <w:bookmarkEnd w:id="9"/>
    </w:p>
    <w:p w14:paraId="13E4AFE0">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1、违约责任按《中华人民共和国民法典》处理中的相关条款执行。</w:t>
      </w:r>
    </w:p>
    <w:p w14:paraId="5156AB71">
      <w:pPr>
        <w:adjustRightInd w:val="0"/>
        <w:snapToGrid w:val="0"/>
        <w:spacing w:line="360" w:lineRule="auto"/>
        <w:ind w:firstLine="480" w:firstLineChars="200"/>
        <w:rPr>
          <w:rFonts w:hint="eastAsia" w:ascii="仿宋_GB2312" w:hAnsi="仿宋_GB2312" w:eastAsia="仿宋_GB2312" w:cs="仿宋_GB2312"/>
          <w:sz w:val="24"/>
          <w:lang w:val="zh-CN"/>
        </w:rPr>
      </w:pPr>
      <w:r>
        <w:rPr>
          <w:rFonts w:hint="eastAsia" w:ascii="仿宋_GB2312" w:hAnsi="仿宋_GB2312" w:eastAsia="仿宋_GB2312" w:cs="仿宋_GB2312"/>
          <w:sz w:val="24"/>
        </w:rPr>
        <w:t>2</w:t>
      </w:r>
      <w:r>
        <w:rPr>
          <w:rFonts w:hint="eastAsia" w:ascii="仿宋_GB2312" w:hAnsi="仿宋_GB2312" w:eastAsia="仿宋_GB2312" w:cs="仿宋_GB2312"/>
          <w:sz w:val="24"/>
          <w:lang w:val="zh-CN"/>
        </w:rPr>
        <w:t>、乙方有下列情形之一的，甲方有权单方面解除合同，因此给甲方造成损失的，乙方应予以赔偿，</w:t>
      </w:r>
      <w:r>
        <w:rPr>
          <w:rFonts w:hint="eastAsia" w:ascii="仿宋_GB2312" w:hAnsi="仿宋_GB2312" w:eastAsia="仿宋_GB2312" w:cs="仿宋_GB2312"/>
          <w:sz w:val="24"/>
          <w:lang w:val="en-US" w:eastAsia="zh-CN"/>
        </w:rPr>
        <w:t>并承担相应责任</w:t>
      </w:r>
      <w:r>
        <w:rPr>
          <w:rFonts w:hint="eastAsia" w:ascii="仿宋_GB2312" w:hAnsi="仿宋_GB2312" w:eastAsia="仿宋_GB2312" w:cs="仿宋_GB2312"/>
          <w:sz w:val="24"/>
          <w:lang w:val="zh-CN"/>
        </w:rPr>
        <w:t>：</w:t>
      </w:r>
    </w:p>
    <w:p w14:paraId="13CBC487">
      <w:pPr>
        <w:adjustRightInd w:val="0"/>
        <w:snapToGrid w:val="0"/>
        <w:spacing w:line="360" w:lineRule="auto"/>
        <w:ind w:firstLine="480" w:firstLineChars="200"/>
        <w:rPr>
          <w:rFonts w:hint="eastAsia" w:ascii="仿宋_GB2312" w:hAnsi="仿宋_GB2312" w:eastAsia="仿宋_GB2312" w:cs="仿宋_GB2312"/>
          <w:sz w:val="24"/>
          <w:lang w:val="zh-CN"/>
        </w:rPr>
      </w:pPr>
      <w:r>
        <w:rPr>
          <w:rFonts w:hint="eastAsia" w:ascii="仿宋_GB2312" w:hAnsi="仿宋_GB2312" w:eastAsia="仿宋_GB2312" w:cs="仿宋_GB2312"/>
          <w:sz w:val="24"/>
        </w:rPr>
        <w:t>2-1、</w:t>
      </w:r>
      <w:r>
        <w:rPr>
          <w:rFonts w:hint="eastAsia" w:ascii="仿宋_GB2312" w:hAnsi="仿宋_GB2312" w:eastAsia="仿宋_GB2312" w:cs="仿宋_GB2312"/>
          <w:sz w:val="24"/>
          <w:lang w:val="zh-CN"/>
        </w:rPr>
        <w:t>因乙方问题造成就餐人食品安全问题。</w:t>
      </w:r>
    </w:p>
    <w:p w14:paraId="408A4CE7">
      <w:pPr>
        <w:adjustRightInd w:val="0"/>
        <w:snapToGrid w:val="0"/>
        <w:spacing w:line="360" w:lineRule="auto"/>
        <w:ind w:firstLine="480" w:firstLineChars="200"/>
        <w:rPr>
          <w:rFonts w:hint="eastAsia" w:ascii="仿宋_GB2312" w:hAnsi="仿宋_GB2312" w:eastAsia="仿宋_GB2312" w:cs="仿宋_GB2312"/>
          <w:sz w:val="24"/>
          <w:lang w:val="zh-CN"/>
        </w:rPr>
      </w:pPr>
      <w:r>
        <w:rPr>
          <w:rFonts w:hint="eastAsia" w:ascii="仿宋_GB2312" w:hAnsi="仿宋_GB2312" w:eastAsia="仿宋_GB2312" w:cs="仿宋_GB2312"/>
          <w:sz w:val="24"/>
        </w:rPr>
        <w:t>2-2、</w:t>
      </w:r>
      <w:r>
        <w:rPr>
          <w:rFonts w:hint="eastAsia" w:ascii="仿宋_GB2312" w:hAnsi="仿宋_GB2312" w:eastAsia="仿宋_GB2312" w:cs="仿宋_GB2312"/>
          <w:sz w:val="24"/>
          <w:lang w:val="zh-CN"/>
        </w:rPr>
        <w:t>因乙方原因使甲方受到食品安全部门处罚。</w:t>
      </w:r>
    </w:p>
    <w:p w14:paraId="1FC9CC2A">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2-3、因</w:t>
      </w:r>
      <w:r>
        <w:rPr>
          <w:rFonts w:hint="eastAsia" w:ascii="仿宋_GB2312" w:hAnsi="仿宋_GB2312" w:eastAsia="仿宋_GB2312" w:cs="仿宋_GB2312"/>
          <w:sz w:val="24"/>
          <w:lang w:val="zh-CN"/>
        </w:rPr>
        <w:t>乙方问题造成</w:t>
      </w:r>
      <w:r>
        <w:rPr>
          <w:rFonts w:hint="eastAsia" w:ascii="仿宋_GB2312" w:hAnsi="仿宋_GB2312" w:eastAsia="仿宋_GB2312" w:cs="仿宋_GB2312"/>
          <w:sz w:val="24"/>
        </w:rPr>
        <w:t>车辆行驶安全及事故。</w:t>
      </w:r>
    </w:p>
    <w:p w14:paraId="2FBAAB13">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2-4、因</w:t>
      </w:r>
      <w:r>
        <w:rPr>
          <w:rFonts w:hint="eastAsia" w:ascii="仿宋_GB2312" w:hAnsi="仿宋_GB2312" w:eastAsia="仿宋_GB2312" w:cs="仿宋_GB2312"/>
          <w:sz w:val="24"/>
          <w:lang w:val="zh-CN"/>
        </w:rPr>
        <w:t>乙方问题</w:t>
      </w:r>
      <w:r>
        <w:rPr>
          <w:rFonts w:hint="eastAsia" w:ascii="仿宋_GB2312" w:hAnsi="仿宋_GB2312" w:eastAsia="仿宋_GB2312" w:cs="仿宋_GB2312"/>
          <w:sz w:val="24"/>
        </w:rPr>
        <w:t>窗口</w:t>
      </w:r>
      <w:r>
        <w:rPr>
          <w:rFonts w:hint="eastAsia" w:ascii="仿宋_GB2312" w:hAnsi="仿宋_GB2312" w:eastAsia="仿宋_GB2312" w:cs="仿宋_GB2312"/>
          <w:sz w:val="24"/>
          <w:lang w:val="en-US" w:eastAsia="zh-CN"/>
        </w:rPr>
        <w:t>有</w:t>
      </w:r>
      <w:r>
        <w:rPr>
          <w:rFonts w:hint="eastAsia" w:ascii="仿宋_GB2312" w:hAnsi="仿宋_GB2312" w:eastAsia="仿宋_GB2312" w:cs="仿宋_GB2312"/>
          <w:sz w:val="24"/>
        </w:rPr>
        <w:t>不良影响。</w:t>
      </w:r>
    </w:p>
    <w:p w14:paraId="2567EBB7">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rPr>
        <w:t>3</w:t>
      </w:r>
      <w:r>
        <w:rPr>
          <w:rFonts w:hint="eastAsia" w:ascii="仿宋_GB2312" w:eastAsia="仿宋_GB2312"/>
          <w:sz w:val="24"/>
          <w:lang w:val="zh-CN"/>
        </w:rPr>
        <w:t>、乙方对甲方提出的问题应及时整改，如有拖延或不服管理，每出现一次乙方应向甲方支付合同总费用万分之</w:t>
      </w:r>
      <w:bookmarkStart w:id="13" w:name="_GoBack"/>
      <w:bookmarkEnd w:id="13"/>
      <w:r>
        <w:rPr>
          <w:rFonts w:hint="eastAsia" w:ascii="仿宋_GB2312" w:eastAsia="仿宋_GB2312"/>
          <w:sz w:val="24"/>
          <w:lang w:val="zh-CN"/>
        </w:rPr>
        <w:t>一的违约金，情况严重，整改后仍不符合甲方要求时甲方可单方解除合同，并赔偿因此给甲方造成的损失。</w:t>
      </w:r>
    </w:p>
    <w:p w14:paraId="54C32EB7">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rPr>
        <w:t>4</w:t>
      </w:r>
      <w:r>
        <w:rPr>
          <w:rFonts w:hint="eastAsia" w:ascii="仿宋_GB2312" w:eastAsia="仿宋_GB2312"/>
          <w:sz w:val="24"/>
          <w:lang w:val="zh-CN"/>
        </w:rPr>
        <w:t>、违约终止合同：未按合同要求提供</w:t>
      </w:r>
      <w:r>
        <w:rPr>
          <w:rFonts w:hint="eastAsia" w:ascii="仿宋_GB2312" w:eastAsia="仿宋_GB2312"/>
          <w:sz w:val="24"/>
        </w:rPr>
        <w:t>服务</w:t>
      </w:r>
      <w:r>
        <w:rPr>
          <w:rFonts w:hint="eastAsia" w:ascii="仿宋_GB2312" w:eastAsia="仿宋_GB2312"/>
          <w:sz w:val="24"/>
          <w:lang w:val="zh-CN"/>
        </w:rPr>
        <w:t>或质量不能满足技术要求，甲方会同监督机构有权终止合同，对乙方违约行为进行追究，同时按政府采购法的有关规定进行相应的处罚。</w:t>
      </w:r>
    </w:p>
    <w:p w14:paraId="1115DBC7">
      <w:pPr>
        <w:adjustRightInd w:val="0"/>
        <w:snapToGrid w:val="0"/>
        <w:spacing w:line="360" w:lineRule="auto"/>
        <w:ind w:firstLine="482" w:firstLineChars="200"/>
        <w:rPr>
          <w:rFonts w:ascii="仿宋_GB2312" w:eastAsia="仿宋_GB2312"/>
          <w:b/>
          <w:sz w:val="24"/>
          <w:lang w:val="zh-CN"/>
        </w:rPr>
      </w:pPr>
      <w:r>
        <w:rPr>
          <w:rFonts w:hint="eastAsia" w:ascii="仿宋_GB2312" w:eastAsia="仿宋_GB2312"/>
          <w:b/>
          <w:sz w:val="24"/>
          <w:lang w:val="zh-CN"/>
        </w:rPr>
        <w:t>十、不可抗力事件处理</w:t>
      </w:r>
    </w:p>
    <w:p w14:paraId="7D4B8E66">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372F8071">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2、本合同中的不可抗力指不能预见、不能避免并不能克服的客观情况。包括但不限于：自然灾害如地震、台风、洪水、火灾；政府行为、法律规定或其适用的变化或者其他任何无法预见、避免或者控制的事件。</w:t>
      </w:r>
    </w:p>
    <w:p w14:paraId="59096416">
      <w:pPr>
        <w:adjustRightInd w:val="0"/>
        <w:snapToGrid w:val="0"/>
        <w:spacing w:line="360" w:lineRule="auto"/>
        <w:ind w:firstLine="482" w:firstLineChars="200"/>
        <w:rPr>
          <w:rFonts w:ascii="仿宋_GB2312" w:eastAsia="仿宋_GB2312"/>
          <w:b/>
          <w:sz w:val="24"/>
          <w:lang w:val="zh-CN"/>
        </w:rPr>
      </w:pPr>
      <w:bookmarkStart w:id="10" w:name="_Toc19515393"/>
      <w:r>
        <w:rPr>
          <w:rFonts w:hint="eastAsia" w:ascii="仿宋_GB2312" w:eastAsia="仿宋_GB2312"/>
          <w:b/>
          <w:sz w:val="24"/>
          <w:lang w:val="zh-CN"/>
        </w:rPr>
        <w:t>十一、合同组成</w:t>
      </w:r>
      <w:bookmarkEnd w:id="10"/>
    </w:p>
    <w:p w14:paraId="7968978F">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1、</w:t>
      </w:r>
      <w:r>
        <w:rPr>
          <w:rFonts w:hint="eastAsia" w:ascii="仿宋_GB2312" w:eastAsia="仿宋_GB2312"/>
          <w:sz w:val="24"/>
        </w:rPr>
        <w:t>成交</w:t>
      </w:r>
      <w:r>
        <w:rPr>
          <w:rFonts w:hint="eastAsia" w:ascii="仿宋_GB2312" w:eastAsia="仿宋_GB2312"/>
          <w:sz w:val="24"/>
          <w:lang w:val="zh-CN"/>
        </w:rPr>
        <w:t>通知书</w:t>
      </w:r>
    </w:p>
    <w:p w14:paraId="16D49179">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2、合同文件</w:t>
      </w:r>
    </w:p>
    <w:p w14:paraId="666506AD">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3、国家相关规范及标准</w:t>
      </w:r>
    </w:p>
    <w:p w14:paraId="07A25285">
      <w:pPr>
        <w:adjustRightInd w:val="0"/>
        <w:snapToGrid w:val="0"/>
        <w:spacing w:line="360" w:lineRule="auto"/>
        <w:ind w:firstLine="480" w:firstLineChars="200"/>
        <w:rPr>
          <w:rFonts w:ascii="仿宋_GB2312" w:eastAsia="仿宋_GB2312"/>
          <w:sz w:val="24"/>
        </w:rPr>
      </w:pPr>
      <w:r>
        <w:rPr>
          <w:rFonts w:hint="eastAsia" w:ascii="仿宋_GB2312" w:eastAsia="仿宋_GB2312"/>
          <w:sz w:val="24"/>
        </w:rPr>
        <w:t>4</w:t>
      </w:r>
      <w:r>
        <w:rPr>
          <w:rFonts w:hint="eastAsia" w:ascii="仿宋_GB2312" w:eastAsia="仿宋_GB2312"/>
          <w:sz w:val="24"/>
          <w:lang w:val="zh-CN"/>
        </w:rPr>
        <w:t>、</w:t>
      </w:r>
      <w:r>
        <w:rPr>
          <w:rFonts w:hint="eastAsia" w:ascii="仿宋_GB2312" w:eastAsia="仿宋_GB2312"/>
          <w:sz w:val="24"/>
        </w:rPr>
        <w:t>磋商文件</w:t>
      </w:r>
    </w:p>
    <w:p w14:paraId="10D12BD8">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rPr>
        <w:t>5</w:t>
      </w:r>
      <w:r>
        <w:rPr>
          <w:rFonts w:hint="eastAsia" w:ascii="仿宋_GB2312" w:eastAsia="仿宋_GB2312"/>
          <w:sz w:val="24"/>
          <w:lang w:val="zh-CN"/>
        </w:rPr>
        <w:t>、</w:t>
      </w:r>
      <w:r>
        <w:rPr>
          <w:rFonts w:hint="eastAsia" w:ascii="仿宋_GB2312" w:eastAsia="仿宋_GB2312"/>
          <w:sz w:val="24"/>
        </w:rPr>
        <w:t>响应</w:t>
      </w:r>
      <w:r>
        <w:rPr>
          <w:rFonts w:hint="eastAsia" w:ascii="仿宋_GB2312" w:eastAsia="仿宋_GB2312"/>
          <w:sz w:val="24"/>
          <w:lang w:val="zh-CN"/>
        </w:rPr>
        <w:t>文件</w:t>
      </w:r>
    </w:p>
    <w:p w14:paraId="1F004A85">
      <w:pPr>
        <w:adjustRightInd w:val="0"/>
        <w:snapToGrid w:val="0"/>
        <w:spacing w:line="360" w:lineRule="auto"/>
        <w:ind w:firstLine="482" w:firstLineChars="200"/>
        <w:rPr>
          <w:rFonts w:ascii="仿宋_GB2312" w:eastAsia="仿宋_GB2312"/>
          <w:b/>
          <w:sz w:val="24"/>
          <w:lang w:val="zh-CN"/>
        </w:rPr>
      </w:pPr>
      <w:bookmarkStart w:id="11" w:name="_Toc19515394"/>
      <w:r>
        <w:rPr>
          <w:rFonts w:hint="eastAsia" w:ascii="仿宋_GB2312" w:eastAsia="仿宋_GB2312"/>
          <w:b/>
          <w:sz w:val="24"/>
          <w:lang w:val="zh-CN"/>
        </w:rPr>
        <w:t>十二、解决争议的方法</w:t>
      </w:r>
      <w:bookmarkEnd w:id="11"/>
    </w:p>
    <w:p w14:paraId="35DA7B43">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凡因本合同引起的或与本合同有关的争议，双方应友好协商解决。协商不成时，双方均同意采用以下第（  ）种争议解决方式：</w:t>
      </w:r>
    </w:p>
    <w:p w14:paraId="4226A623">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（1）、甲、乙双方均同意向（甲方所在地人民法院）提起诉讼。</w:t>
      </w:r>
    </w:p>
    <w:p w14:paraId="4309913A">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（2）、甲、乙双方均同意向（</w:t>
      </w:r>
      <w:r>
        <w:fldChar w:fldCharType="begin"/>
      </w:r>
      <w:r>
        <w:instrText xml:space="preserve"> HYPERLINK "http://www.baidu.com/s?wd=%E4%BB%B2%E8%A3%81%E5%A7%94%E5%91%98%E4%BC%9A&amp;tn=SE_PcZhidaonwhc_ngpagmjz&amp;rsv_dl=gh_pc_zhidao" \t "_blank" </w:instrText>
      </w:r>
      <w:r>
        <w:fldChar w:fldCharType="separate"/>
      </w:r>
      <w:r>
        <w:rPr>
          <w:rFonts w:hint="eastAsia" w:ascii="仿宋_GB2312" w:eastAsia="仿宋_GB2312"/>
          <w:sz w:val="24"/>
          <w:lang w:val="zh-CN"/>
        </w:rPr>
        <w:t>仲裁委员会</w:t>
      </w:r>
      <w:r>
        <w:rPr>
          <w:rFonts w:hint="eastAsia" w:ascii="仿宋_GB2312" w:eastAsia="仿宋_GB2312"/>
          <w:sz w:val="24"/>
          <w:lang w:val="zh-CN"/>
        </w:rPr>
        <w:fldChar w:fldCharType="end"/>
      </w:r>
      <w:r>
        <w:rPr>
          <w:rFonts w:hint="eastAsia" w:ascii="仿宋_GB2312" w:eastAsia="仿宋_GB2312"/>
          <w:sz w:val="24"/>
          <w:lang w:val="zh-CN"/>
        </w:rPr>
        <w:t>）提起仲裁。</w:t>
      </w:r>
    </w:p>
    <w:p w14:paraId="624E9C8E">
      <w:pPr>
        <w:adjustRightInd w:val="0"/>
        <w:snapToGrid w:val="0"/>
        <w:spacing w:line="360" w:lineRule="auto"/>
        <w:ind w:firstLine="482" w:firstLineChars="200"/>
        <w:rPr>
          <w:rFonts w:ascii="仿宋_GB2312" w:eastAsia="仿宋_GB2312"/>
          <w:b/>
          <w:sz w:val="24"/>
          <w:lang w:val="zh-CN"/>
        </w:rPr>
      </w:pPr>
      <w:bookmarkStart w:id="12" w:name="_Toc19515395"/>
      <w:r>
        <w:rPr>
          <w:rFonts w:hint="eastAsia" w:ascii="仿宋_GB2312" w:eastAsia="仿宋_GB2312"/>
          <w:b/>
          <w:sz w:val="24"/>
          <w:lang w:val="zh-CN"/>
        </w:rPr>
        <w:t>十三、合同生效及其它</w:t>
      </w:r>
      <w:bookmarkEnd w:id="12"/>
    </w:p>
    <w:p w14:paraId="1E62AD00">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1、合同未尽事宜、由甲、乙双方协商，作为合同补充，与原合同具有同等法律效力。</w:t>
      </w:r>
    </w:p>
    <w:p w14:paraId="4CAE3006">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2、 本合同一式</w:t>
      </w:r>
      <w:r>
        <w:rPr>
          <w:rFonts w:hint="eastAsia" w:ascii="仿宋_GB2312" w:eastAsia="仿宋_GB2312"/>
          <w:sz w:val="24"/>
          <w:u w:val="single"/>
          <w:lang w:val="zh-CN"/>
        </w:rPr>
        <w:t xml:space="preserve">  </w:t>
      </w:r>
      <w:r>
        <w:rPr>
          <w:rFonts w:hint="eastAsia" w:ascii="仿宋_GB2312" w:eastAsia="仿宋_GB2312"/>
          <w:sz w:val="24"/>
          <w:lang w:val="zh-CN"/>
        </w:rPr>
        <w:t xml:space="preserve">份，甲方、乙方双方分别执 </w:t>
      </w:r>
      <w:r>
        <w:rPr>
          <w:rFonts w:hint="eastAsia" w:ascii="仿宋_GB2312" w:eastAsia="仿宋_GB2312"/>
          <w:sz w:val="24"/>
          <w:u w:val="single"/>
          <w:lang w:val="zh-CN"/>
        </w:rPr>
        <w:t xml:space="preserve">  </w:t>
      </w:r>
      <w:r>
        <w:rPr>
          <w:rFonts w:hint="eastAsia" w:ascii="仿宋_GB2312" w:eastAsia="仿宋_GB2312"/>
          <w:sz w:val="24"/>
          <w:lang w:val="zh-CN"/>
        </w:rPr>
        <w:t>份，</w:t>
      </w:r>
      <w:r>
        <w:rPr>
          <w:rFonts w:hint="eastAsia" w:ascii="仿宋_GB2312" w:eastAsia="仿宋_GB2312"/>
          <w:sz w:val="24"/>
          <w:u w:val="single"/>
          <w:lang w:val="zh-CN"/>
        </w:rPr>
        <w:t xml:space="preserve">   </w:t>
      </w:r>
      <w:r>
        <w:rPr>
          <w:rFonts w:hint="eastAsia" w:ascii="仿宋_GB2312" w:eastAsia="仿宋_GB2312"/>
          <w:sz w:val="24"/>
          <w:lang w:val="zh-CN"/>
        </w:rPr>
        <w:t>备案</w:t>
      </w:r>
      <w:r>
        <w:rPr>
          <w:rFonts w:hint="eastAsia" w:ascii="仿宋_GB2312" w:eastAsia="仿宋_GB2312"/>
          <w:sz w:val="24"/>
          <w:u w:val="single"/>
          <w:lang w:val="zh-CN"/>
        </w:rPr>
        <w:t xml:space="preserve">  </w:t>
      </w:r>
      <w:r>
        <w:rPr>
          <w:rFonts w:hint="eastAsia" w:ascii="仿宋_GB2312" w:eastAsia="仿宋_GB2312"/>
          <w:sz w:val="24"/>
          <w:lang w:val="zh-CN"/>
        </w:rPr>
        <w:t>份。</w:t>
      </w:r>
    </w:p>
    <w:p w14:paraId="2C5C9A33">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3、合同经甲乙双方盖章、签字后生效，合同签订地点为</w:t>
      </w:r>
      <w:r>
        <w:rPr>
          <w:rFonts w:hint="eastAsia" w:ascii="仿宋_GB2312" w:eastAsia="仿宋_GB2312"/>
          <w:sz w:val="24"/>
          <w:u w:val="single"/>
          <w:lang w:val="zh-CN"/>
        </w:rPr>
        <w:t xml:space="preserve">         </w:t>
      </w:r>
      <w:r>
        <w:rPr>
          <w:rFonts w:hint="eastAsia" w:ascii="仿宋_GB2312" w:eastAsia="仿宋_GB2312"/>
          <w:sz w:val="24"/>
          <w:lang w:val="zh-CN"/>
        </w:rPr>
        <w:t>。</w:t>
      </w:r>
    </w:p>
    <w:p w14:paraId="33856154">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4、生效时间：</w:t>
      </w:r>
      <w:r>
        <w:rPr>
          <w:rFonts w:hint="eastAsia" w:ascii="仿宋_GB2312" w:eastAsia="仿宋_GB2312"/>
          <w:sz w:val="24"/>
          <w:u w:val="single"/>
          <w:lang w:val="zh-CN"/>
        </w:rPr>
        <w:t xml:space="preserve">   </w:t>
      </w:r>
      <w:r>
        <w:rPr>
          <w:rFonts w:hint="eastAsia" w:ascii="仿宋_GB2312" w:eastAsia="仿宋_GB2312"/>
          <w:sz w:val="24"/>
          <w:lang w:val="zh-CN"/>
        </w:rPr>
        <w:t>年</w:t>
      </w:r>
      <w:r>
        <w:rPr>
          <w:rFonts w:hint="eastAsia" w:ascii="仿宋_GB2312" w:eastAsia="仿宋_GB2312"/>
          <w:sz w:val="24"/>
          <w:u w:val="single"/>
          <w:lang w:val="zh-CN"/>
        </w:rPr>
        <w:t xml:space="preserve">   </w:t>
      </w:r>
      <w:r>
        <w:rPr>
          <w:rFonts w:hint="eastAsia" w:ascii="仿宋_GB2312" w:eastAsia="仿宋_GB2312"/>
          <w:sz w:val="24"/>
          <w:lang w:val="zh-CN"/>
        </w:rPr>
        <w:t>月</w:t>
      </w:r>
      <w:r>
        <w:rPr>
          <w:rFonts w:hint="eastAsia" w:ascii="仿宋_GB2312" w:eastAsia="仿宋_GB2312"/>
          <w:sz w:val="24"/>
          <w:u w:val="single"/>
          <w:lang w:val="zh-CN"/>
        </w:rPr>
        <w:t xml:space="preserve">   </w:t>
      </w:r>
      <w:r>
        <w:rPr>
          <w:rFonts w:hint="eastAsia" w:ascii="仿宋_GB2312" w:eastAsia="仿宋_GB2312"/>
          <w:sz w:val="24"/>
          <w:lang w:val="zh-CN"/>
        </w:rPr>
        <w:t>日</w:t>
      </w:r>
    </w:p>
    <w:p w14:paraId="55B71E15">
      <w:pPr>
        <w:adjustRightInd w:val="0"/>
        <w:snapToGrid w:val="0"/>
        <w:spacing w:line="360" w:lineRule="auto"/>
        <w:ind w:firstLine="480" w:firstLineChars="200"/>
        <w:rPr>
          <w:rFonts w:ascii="仿宋_GB2312" w:eastAsia="仿宋_GB2312"/>
          <w:sz w:val="24"/>
          <w:lang w:val="zh-CN"/>
        </w:rPr>
      </w:pPr>
    </w:p>
    <w:tbl>
      <w:tblPr>
        <w:tblStyle w:val="3"/>
        <w:tblW w:w="0" w:type="auto"/>
        <w:jc w:val="center"/>
        <w:tblLayout w:type="fixed"/>
        <w:tblCellMar>
          <w:top w:w="0" w:type="dxa"/>
          <w:left w:w="108" w:type="dxa"/>
          <w:bottom w:w="0" w:type="dxa"/>
          <w:right w:w="108" w:type="dxa"/>
        </w:tblCellMar>
      </w:tblPr>
      <w:tblGrid>
        <w:gridCol w:w="4643"/>
        <w:gridCol w:w="4643"/>
      </w:tblGrid>
      <w:tr w14:paraId="560EB81A">
        <w:tblPrEx>
          <w:tblCellMar>
            <w:top w:w="0" w:type="dxa"/>
            <w:left w:w="108" w:type="dxa"/>
            <w:bottom w:w="0" w:type="dxa"/>
            <w:right w:w="108" w:type="dxa"/>
          </w:tblCellMar>
        </w:tblPrEx>
        <w:trPr>
          <w:jc w:val="center"/>
        </w:trPr>
        <w:tc>
          <w:tcPr>
            <w:tcW w:w="4643" w:type="dxa"/>
          </w:tcPr>
          <w:p w14:paraId="6D46B89A">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甲方名称（盖章）:</w:t>
            </w:r>
          </w:p>
          <w:p w14:paraId="63953DA9">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地址：</w:t>
            </w:r>
          </w:p>
          <w:p w14:paraId="50D91B8E">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代表人（签字）：</w:t>
            </w:r>
          </w:p>
          <w:p w14:paraId="58B25B8B">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电话：</w:t>
            </w:r>
          </w:p>
          <w:p w14:paraId="5ECAF9F0">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开户银行：</w:t>
            </w:r>
          </w:p>
          <w:p w14:paraId="24CE3131">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rPr>
              <w:t>账</w:t>
            </w:r>
            <w:r>
              <w:rPr>
                <w:rFonts w:hint="eastAsia" w:ascii="仿宋_GB2312" w:eastAsia="仿宋_GB2312"/>
                <w:sz w:val="24"/>
                <w:lang w:val="zh-CN"/>
              </w:rPr>
              <w:t>号：</w:t>
            </w:r>
          </w:p>
        </w:tc>
        <w:tc>
          <w:tcPr>
            <w:tcW w:w="4643" w:type="dxa"/>
          </w:tcPr>
          <w:p w14:paraId="49942696">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乙方名称（盖章）:</w:t>
            </w:r>
          </w:p>
          <w:p w14:paraId="6D7BC13C">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地址：</w:t>
            </w:r>
          </w:p>
          <w:p w14:paraId="294CFB99">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代表人（签字）：</w:t>
            </w:r>
          </w:p>
          <w:p w14:paraId="22B8015A">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电话：</w:t>
            </w:r>
          </w:p>
          <w:p w14:paraId="09BFAECE">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lang w:val="zh-CN"/>
              </w:rPr>
              <w:t>开户银行：</w:t>
            </w:r>
          </w:p>
          <w:p w14:paraId="4CB1DAD7">
            <w:pPr>
              <w:adjustRightInd w:val="0"/>
              <w:snapToGrid w:val="0"/>
              <w:spacing w:line="360" w:lineRule="auto"/>
              <w:ind w:firstLine="480" w:firstLineChars="200"/>
              <w:rPr>
                <w:rFonts w:ascii="仿宋_GB2312" w:eastAsia="仿宋_GB2312"/>
                <w:sz w:val="24"/>
                <w:lang w:val="zh-CN"/>
              </w:rPr>
            </w:pPr>
            <w:r>
              <w:rPr>
                <w:rFonts w:hint="eastAsia" w:ascii="仿宋_GB2312" w:eastAsia="仿宋_GB2312"/>
                <w:sz w:val="24"/>
              </w:rPr>
              <w:t>账</w:t>
            </w:r>
            <w:r>
              <w:rPr>
                <w:rFonts w:hint="eastAsia" w:ascii="仿宋_GB2312" w:eastAsia="仿宋_GB2312"/>
                <w:sz w:val="24"/>
                <w:lang w:val="zh-CN"/>
              </w:rPr>
              <w:t>号：</w:t>
            </w:r>
          </w:p>
        </w:tc>
      </w:tr>
    </w:tbl>
    <w:p w14:paraId="5379B39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76"/>
    <w:rsid w:val="00A70AA9"/>
    <w:rsid w:val="00C72B76"/>
    <w:rsid w:val="00D83834"/>
    <w:rsid w:val="08927155"/>
    <w:rsid w:val="10CB491B"/>
    <w:rsid w:val="185067F9"/>
    <w:rsid w:val="23E42CBC"/>
    <w:rsid w:val="2FBE1904"/>
    <w:rsid w:val="45AE3D95"/>
    <w:rsid w:val="5435659E"/>
    <w:rsid w:val="646B0120"/>
    <w:rsid w:val="720F2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1672</Words>
  <Characters>1706</Characters>
  <Lines>13</Lines>
  <Paragraphs>3</Paragraphs>
  <TotalTime>0</TotalTime>
  <ScaleCrop>false</ScaleCrop>
  <LinksUpToDate>false</LinksUpToDate>
  <CharactersWithSpaces>1785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2026-02-26T07:38:00Z</dcterms:created>
  <dc:creator>Lenovo</dc:creator>
  <cp:lastModifiedBy>钟声</cp:lastModifiedBy>
  <dcterms:modified xsi:type="dcterms:W3CDTF">2026-02-26T08:05:16Z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eyJoZGlkIjoiOTJmM2Y3YjgzNWU3ZDc3NGZmYWVkNzQyNTc3YTk1YjQiLCJ1c2VySWQiOiI2Nzc2MzQ0MTQifQ==</vt:lpwstr>
  </property>
  <property fmtid="{D5CDD505-2E9C-101B-9397-08002B2CF9AE}" pid="4" name="ICV">
    <vt:lpwstr>4765049D7E5649D98876C849BA28E808_12</vt:lpwstr>
  </property>
</Properties>
</file>