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版本号：DX2025-27120260227001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网络核心设备维保服务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DX2025-271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网络核心设备维保服务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DX2025-271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网络核心设备维保服务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西安市第三医院网络核心设备维保服务。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书：法定代表人参加磋商的，须提供法定代表人身份证明；法定代表人授权他人参加磋商的，须提供法定代表人授权委托书及被授权代表磋商截止前近三个月内任意一个月的本单位养老保险缴纳证明。（法人参加只需提供法定代表人身份证明）；</w:t>
      </w:r>
    </w:p>
    <w:p>
      <w:pPr>
        <w:pStyle w:val="null3"/>
      </w:pPr>
      <w:r>
        <w:rPr>
          <w:rFonts w:ascii="仿宋_GB2312" w:hAnsi="仿宋_GB2312" w:cs="仿宋_GB2312" w:eastAsia="仿宋_GB2312"/>
        </w:rPr>
        <w:t>3、财务状况报告：提供2024年度完整的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4、社保保障资金缴纳证明：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pPr>
        <w:pStyle w:val="null3"/>
      </w:pPr>
      <w:r>
        <w:rPr>
          <w:rFonts w:ascii="仿宋_GB2312" w:hAnsi="仿宋_GB2312" w:cs="仿宋_GB2312" w:eastAsia="仿宋_GB2312"/>
        </w:rPr>
        <w:t>5、税收缴纳证明：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p>
      <w:pPr>
        <w:pStyle w:val="null3"/>
      </w:pPr>
      <w:r>
        <w:rPr>
          <w:rFonts w:ascii="仿宋_GB2312" w:hAnsi="仿宋_GB2312" w:cs="仿宋_GB2312" w:eastAsia="仿宋_GB2312"/>
        </w:rPr>
        <w:t>10、供应商与采购人关联关系：本项目不接受由西安市第三医院职工及其亲属投资开办的企业参加本单位的政府采购活动（提供承诺函）；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李薇、张亚娜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联系人：张亚娜、李薇</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西安市第三医院网络核心设备维保服务。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网络核心设备维保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标的名称：网络核心设备维保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项目概况</w:t>
            </w:r>
          </w:p>
          <w:p>
            <w:pPr>
              <w:pStyle w:val="null3"/>
              <w:ind w:firstLine="400"/>
            </w:pPr>
            <w:r>
              <w:rPr>
                <w:rFonts w:ascii="仿宋_GB2312" w:hAnsi="仿宋_GB2312" w:cs="仿宋_GB2312" w:eastAsia="仿宋_GB2312"/>
              </w:rPr>
              <w:t>随着医院业务的迅猛发展，医院信息化建设的逐步完善，医院各科室使用的信息化系统正在不断增多，网络核心设备的稳定运行是医院所有信息系统正常运作的基础。为了医院各个业务系统的稳定运行，更好的发挥信息化效益，本次项目采购一年的网络核心设备维保服务，确保系统正常运行。</w:t>
            </w:r>
          </w:p>
          <w:p>
            <w:pPr>
              <w:pStyle w:val="null3"/>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服务内容</w:t>
            </w:r>
          </w:p>
          <w:p>
            <w:pPr>
              <w:pStyle w:val="null3"/>
            </w:pPr>
            <w:r>
              <w:rPr>
                <w:rFonts w:ascii="仿宋_GB2312" w:hAnsi="仿宋_GB2312" w:cs="仿宋_GB2312" w:eastAsia="仿宋_GB2312"/>
              </w:rPr>
              <w:t>本次维保的设备清单如下：</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设备分类</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设备类型</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品牌</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一期网络设备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安防核心交换机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S7706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S12700E-4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浪潮超融合交换机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S6730S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电口交换机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H3C S5130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超融合交换机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S6270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 RG-S2928G-E</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电口交换机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 RG-S2910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内网电口服务器交换机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S5732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内网核心交换机（主)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S12700E</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流量镜像交换机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H3C S6520X</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光口交换机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CE6881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接入交换机1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 S5720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锐捷S6120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锐捷S2910C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锐捷S5750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华三S5130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安防网汇聚交换机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锐捷S7805E</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锐捷S5750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锐捷S2910-24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锐捷S2910-48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锐捷S2910C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华三bs248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华三us328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锐捷S2628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安防网接入交换机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锐捷S2910C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一期无线网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内信号分布基站系统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RG-AP4820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射频信号分配系统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RG-APD-M(EA)</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美化天线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RG-IOA-2503-X5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658</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干路馈线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RG-Cab-SMA-35m-MJ</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支路馈线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RG-DCAB-SMA-10m；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全光微AP</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RG-MAP852-SF</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全光主AP</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RG-AM5552-SF</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无线控制器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RG-WS7208-A</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无线网优系统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RG-WIS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POE交换机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RG-S5310-24GT4XS-P-E</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RG-S6120-48XS8CQ</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二期无线网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无线控制器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RG-LIC-WS-128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RG-S6120- 48XS80Q</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POE 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RG-S5310-24GT4XS-PE</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室内信号分布基站系统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RG-AP4820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射频信号分配系统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RG-APD-M(EX)</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POE 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锐捷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RG-S2910-24GT4XS-UP-H</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二期外网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外网24口POE交换机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S5735-L24P4X-A1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内网无线AP</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AirEngine 5762-12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外网无线控制器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AC6508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二期网络设备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外网核心交换机*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S7703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外网汇聚交换机*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S6720-54C-EI-48S-AC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外网24口接入交换机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S5735-L24T4X-A1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外网48口接入交换机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S5735-L48T4X-A1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灾备机房核心交换机</w:t>
                  </w: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S7703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灾备机房内网服务器汇聚交换机</w:t>
                  </w: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6857E-48S6CQ</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设备网防火墙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USG6565E-AC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设备网核心交换机*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S7703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设备网24口汇聚</w:t>
                  </w: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S6720-54C-EI-48S-AC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设备网24口POE交换机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S5735-L24P4X-A1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设备网24口接入交换机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S5735-L24T4X-A1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设备网网管平台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iMaster NCE-Campus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内网核心交换机*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CloudEngine S12700E-8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内网汇聚交换机*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S6720-54C-EI-48S-AC</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内网24口接入交换机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S5735-L24T4X-A1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内网24口POE交换机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S5735-L24P4X-A1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内网48口接入交换机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S5735-L48T4X-A1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r>
          </w:tbl>
          <w:p>
            <w:pPr>
              <w:pStyle w:val="null3"/>
            </w:pPr>
            <w:r>
              <w:rPr>
                <w:rFonts w:ascii="仿宋_GB2312" w:hAnsi="仿宋_GB2312" w:cs="仿宋_GB2312" w:eastAsia="仿宋_GB2312"/>
              </w:rPr>
              <w:t>注：此次维保包含一期以及二期标注*所有设备整机硬件、光模块、电源以及使用中的光纤跳线的日常维护以及原厂零配件更换。当设备维修超过三次，仍频繁发生故障，无法持续稳定工作时，应整机更换同品牌相同或者更高配置的设备。所有的零配件更换以及整机更换的费用均包含在本次维保费中，不另行支付。二期其他设备只做日常维护，巡检，配合调试等运维工作。除上表内容外，新购设备自投入使用后，自动划入运维服务范围，相应维修配件按设备质保流程执行；维保方协助院方和设备供应商对接进行设备维修，维保方协助院方终端设备资产进行管理工作。</w:t>
            </w:r>
          </w:p>
          <w:p>
            <w:pPr>
              <w:pStyle w:val="null3"/>
            </w:pP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服务</w:t>
            </w:r>
            <w:r>
              <w:rPr>
                <w:rFonts w:ascii="仿宋_GB2312" w:hAnsi="仿宋_GB2312" w:cs="仿宋_GB2312" w:eastAsia="仿宋_GB2312"/>
                <w:b/>
              </w:rPr>
              <w:t>要求</w:t>
            </w:r>
          </w:p>
          <w:p>
            <w:pPr>
              <w:pStyle w:val="null3"/>
            </w:pPr>
            <w:r>
              <w:rPr>
                <w:rFonts w:ascii="仿宋_GB2312" w:hAnsi="仿宋_GB2312" w:cs="仿宋_GB2312" w:eastAsia="仿宋_GB2312"/>
                <w:b/>
              </w:rPr>
              <w:t>1.</w:t>
            </w:r>
            <w:r>
              <w:rPr>
                <w:rFonts w:ascii="仿宋_GB2312" w:hAnsi="仿宋_GB2312" w:cs="仿宋_GB2312" w:eastAsia="仿宋_GB2312"/>
                <w:b/>
              </w:rPr>
              <w:t>提供现场巡检维保服务及365*24小时故障响应服务</w:t>
            </w:r>
          </w:p>
          <w:p>
            <w:pPr>
              <w:pStyle w:val="null3"/>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）现场驻场服务</w:t>
            </w:r>
          </w:p>
          <w:p>
            <w:pPr>
              <w:pStyle w:val="null3"/>
            </w:pPr>
            <w:r>
              <w:rPr>
                <w:rFonts w:ascii="仿宋_GB2312" w:hAnsi="仿宋_GB2312" w:cs="仿宋_GB2312" w:eastAsia="仿宋_GB2312"/>
              </w:rPr>
              <w:t>1.1 提供工程师现场驻场服务。提供一名网络工程师，提供5*8小时驻场服务，加入到信息中心网络运维团队中，每周驻场时间40个小时。负责进行巡检、软硬件故障排查、网络分析、网络调优、网络系统架构升级建议以及配合信息中心日常工作等服务。如因采购方遇到系统割接、重大项目需要，现场驻场服务人员，时间可根据采购人提出增加人员时长。现场巡检工程师须持有中级及以上网络工程师认证，具备五年以上相关工作经验，并具有网络核心设备维护项目经历。工程师需熟悉虚拟化应用环境，能够针对网络及虚拟化系统故障，实施专业故障定位并制定有效解决方案。</w:t>
            </w:r>
          </w:p>
          <w:p>
            <w:pPr>
              <w:pStyle w:val="null3"/>
            </w:pPr>
            <w:r>
              <w:rPr>
                <w:rFonts w:ascii="仿宋_GB2312" w:hAnsi="仿宋_GB2312" w:cs="仿宋_GB2312" w:eastAsia="仿宋_GB2312"/>
              </w:rPr>
              <w:t>1.2 运维公司应当在经营范围内投入相应的责任险。因工作失误造成自身、院方或第三方的财产损失或人员伤亡的，由运维公司承担全部经济责任及法律责任。</w:t>
            </w:r>
          </w:p>
          <w:p>
            <w:pPr>
              <w:pStyle w:val="null3"/>
            </w:pPr>
            <w:r>
              <w:rPr>
                <w:rFonts w:ascii="仿宋_GB2312" w:hAnsi="仿宋_GB2312" w:cs="仿宋_GB2312" w:eastAsia="仿宋_GB2312"/>
              </w:rPr>
              <w:t>1.3 在服务期内若运维公司的工作人员发生盗窃、斗殴，人员伤亡等意外情形，均应由运维公司承担负责，与采购人无关。</w:t>
            </w:r>
          </w:p>
          <w:p>
            <w:pPr>
              <w:pStyle w:val="null3"/>
            </w:pPr>
            <w:r>
              <w:rPr>
                <w:rFonts w:ascii="仿宋_GB2312" w:hAnsi="仿宋_GB2312" w:cs="仿宋_GB2312" w:eastAsia="仿宋_GB2312"/>
              </w:rPr>
              <w:t>1.4 运维公司工作人员应定期按要求向信息中心上交工作记录、台账、统计数据、报表等。合同终止时，运维公司应向信息中心移交服务过程中的全部档案资料，包括但不限于：工作记录、台账、统计数据、报表，且不得留档。此项工作纳入满意度考核中。</w:t>
            </w:r>
          </w:p>
          <w:p>
            <w:pPr>
              <w:pStyle w:val="null3"/>
            </w:pPr>
            <w:r>
              <w:rPr>
                <w:rFonts w:ascii="仿宋_GB2312" w:hAnsi="仿宋_GB2312" w:cs="仿宋_GB2312" w:eastAsia="仿宋_GB2312"/>
              </w:rPr>
              <w:t>1.5 驻场运维人员需严格按照院方工作签到表进行签到，院方会依据驻场运维人员的签到情况，对驻场运维人员进行考核。</w:t>
            </w:r>
          </w:p>
          <w:p>
            <w:pPr>
              <w:pStyle w:val="null3"/>
            </w:pPr>
            <w:r>
              <w:rPr>
                <w:rFonts w:ascii="仿宋_GB2312" w:hAnsi="仿宋_GB2312" w:cs="仿宋_GB2312" w:eastAsia="仿宋_GB2312"/>
                <w:b/>
              </w:rPr>
              <w:t>（2）</w:t>
            </w:r>
            <w:r>
              <w:rPr>
                <w:rFonts w:ascii="仿宋_GB2312" w:hAnsi="仿宋_GB2312" w:cs="仿宋_GB2312" w:eastAsia="仿宋_GB2312"/>
                <w:b/>
              </w:rPr>
              <w:t>二线专家升级服务</w:t>
            </w:r>
          </w:p>
          <w:p>
            <w:pPr>
              <w:pStyle w:val="null3"/>
            </w:pPr>
            <w:r>
              <w:rPr>
                <w:rFonts w:ascii="仿宋_GB2312" w:hAnsi="仿宋_GB2312" w:cs="仿宋_GB2312" w:eastAsia="仿宋_GB2312"/>
              </w:rPr>
              <w:t>2.1 供应商应建立二线专家团队。现场巡检服务工程师无法立即处理的故障，提供升级服务，一般故障二线工程师2小时到场处理，紧急故障1小时内到场。</w:t>
            </w:r>
          </w:p>
          <w:p>
            <w:pPr>
              <w:pStyle w:val="null3"/>
            </w:pPr>
            <w:r>
              <w:rPr>
                <w:rFonts w:ascii="仿宋_GB2312" w:hAnsi="仿宋_GB2312" w:cs="仿宋_GB2312" w:eastAsia="仿宋_GB2312"/>
              </w:rPr>
              <w:t>2.2 二线专家团队应至少包含1名高级网络工程师，1名中级以上安全工程师，1名高级架构师RHCA，可对医院核心网络与业务系统关联的故障状态进行分析，快速定位网络故障点，提出故障解决方案。</w:t>
            </w:r>
          </w:p>
          <w:p>
            <w:pPr>
              <w:pStyle w:val="null3"/>
            </w:pPr>
            <w:r>
              <w:rPr>
                <w:rFonts w:ascii="仿宋_GB2312" w:hAnsi="仿宋_GB2312" w:cs="仿宋_GB2312" w:eastAsia="仿宋_GB2312"/>
                <w:b/>
              </w:rPr>
              <w:t>（3）</w:t>
            </w:r>
            <w:r>
              <w:rPr>
                <w:rFonts w:ascii="仿宋_GB2312" w:hAnsi="仿宋_GB2312" w:cs="仿宋_GB2312" w:eastAsia="仿宋_GB2312"/>
                <w:b/>
              </w:rPr>
              <w:t>提供365*24小时故障响应服务</w:t>
            </w:r>
          </w:p>
          <w:p>
            <w:pPr>
              <w:pStyle w:val="null3"/>
            </w:pPr>
            <w:r>
              <w:rPr>
                <w:rFonts w:ascii="仿宋_GB2312" w:hAnsi="仿宋_GB2312" w:cs="仿宋_GB2312" w:eastAsia="仿宋_GB2312"/>
              </w:rPr>
              <w:t>3.1 提供全年365天、24小时的故障响应服务。投标方应提供规范便捷的故障报修方式、完善的故障响应机制、专业的故障处理流程、故障处理报告及故障分析等。</w:t>
            </w:r>
          </w:p>
          <w:p>
            <w:pPr>
              <w:pStyle w:val="null3"/>
            </w:pPr>
            <w:r>
              <w:rPr>
                <w:rFonts w:ascii="仿宋_GB2312" w:hAnsi="仿宋_GB2312" w:cs="仿宋_GB2312" w:eastAsia="仿宋_GB2312"/>
              </w:rPr>
              <w:t>3.2 根据本项目实际情况制定突发事件应急预案，应急预案应包含核心网络设备可能发生的一般故障处理、突发事件处理等。应急预案应包含响应方式、到场时间、详细人员分工，职责明确。</w:t>
            </w:r>
          </w:p>
          <w:p>
            <w:pPr>
              <w:pStyle w:val="null3"/>
            </w:pPr>
            <w:r>
              <w:rPr>
                <w:rFonts w:ascii="仿宋_GB2312" w:hAnsi="仿宋_GB2312" w:cs="仿宋_GB2312" w:eastAsia="仿宋_GB2312"/>
              </w:rPr>
              <w:t>3.3供应商应组建专门服务于本项目的服务团队，提供本项目服务团队人员名单及分工。服务团队成员应具有完成本项目服务的专业技术知识，配备充足的资源、设备、工具、技术资料，完成项目服务工作并提交完善的服务文档。</w:t>
            </w:r>
          </w:p>
          <w:p>
            <w:pPr>
              <w:pStyle w:val="null3"/>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）提供备件服务</w:t>
            </w:r>
          </w:p>
          <w:p>
            <w:pPr>
              <w:pStyle w:val="null3"/>
            </w:pPr>
            <w:r>
              <w:rPr>
                <w:rFonts w:ascii="仿宋_GB2312" w:hAnsi="仿宋_GB2312" w:cs="仿宋_GB2312" w:eastAsia="仿宋_GB2312"/>
              </w:rPr>
              <w:t>为保障设备应急维护的及时性，服务方需在项目所在地设立备件库，并具备根据本项目需求提供整机、电源、光模块、光纤跳线等备品备件的能力。备件库应建立完善的管理程序与快速调用机制，确保在突发紧急故障发生时，相关备件可在30分钟内送达故障现场。</w:t>
            </w:r>
          </w:p>
          <w:p>
            <w:pPr>
              <w:pStyle w:val="null3"/>
            </w:pPr>
            <w:r>
              <w:rPr>
                <w:rFonts w:ascii="仿宋_GB2312" w:hAnsi="仿宋_GB2312" w:cs="仿宋_GB2312" w:eastAsia="仿宋_GB2312"/>
                <w:b/>
              </w:rPr>
              <w:t>（</w:t>
            </w:r>
            <w:r>
              <w:rPr>
                <w:rFonts w:ascii="仿宋_GB2312" w:hAnsi="仿宋_GB2312" w:cs="仿宋_GB2312" w:eastAsia="仿宋_GB2312"/>
                <w:b/>
              </w:rPr>
              <w:t>5</w:t>
            </w:r>
            <w:r>
              <w:rPr>
                <w:rFonts w:ascii="仿宋_GB2312" w:hAnsi="仿宋_GB2312" w:cs="仿宋_GB2312" w:eastAsia="仿宋_GB2312"/>
                <w:b/>
              </w:rPr>
              <w:t>）提供培训服务</w:t>
            </w:r>
          </w:p>
          <w:p>
            <w:pPr>
              <w:pStyle w:val="null3"/>
            </w:pPr>
            <w:r>
              <w:rPr>
                <w:rFonts w:ascii="仿宋_GB2312" w:hAnsi="仿宋_GB2312" w:cs="仿宋_GB2312" w:eastAsia="仿宋_GB2312"/>
              </w:rPr>
              <w:t>提供规范且具备专业水平的技术培训服务。</w:t>
            </w:r>
          </w:p>
          <w:p>
            <w:pPr>
              <w:pStyle w:val="null3"/>
            </w:pPr>
            <w:r>
              <w:rPr>
                <w:rFonts w:ascii="仿宋_GB2312" w:hAnsi="仿宋_GB2312" w:cs="仿宋_GB2312" w:eastAsia="仿宋_GB2312"/>
                <w:b/>
              </w:rPr>
              <w:t>2.</w:t>
            </w:r>
            <w:r>
              <w:rPr>
                <w:rFonts w:ascii="仿宋_GB2312" w:hAnsi="仿宋_GB2312" w:cs="仿宋_GB2312" w:eastAsia="仿宋_GB2312"/>
                <w:b/>
              </w:rPr>
              <w:t>对全院网络机柜线缆进行整理改造</w:t>
            </w:r>
          </w:p>
          <w:p>
            <w:pPr>
              <w:pStyle w:val="null3"/>
            </w:pPr>
            <w:r>
              <w:rPr>
                <w:rFonts w:ascii="仿宋_GB2312" w:hAnsi="仿宋_GB2312" w:cs="仿宋_GB2312" w:eastAsia="仿宋_GB2312"/>
              </w:rPr>
              <w:t>为确保西安市第三医院网络设备稳定运行，现要求对弱电井内所有网络机柜的线缆进行全面的规范化整理与布局优化。供应商须提供涵盖现状分析、方案制定、规范实施、测试验证及后期归档的完整改造方案，确保整理后线缆布局合理、标识清晰、环境整洁、通信可靠，并建立可动态管理的线缆与设备档案。</w:t>
            </w:r>
          </w:p>
          <w:p>
            <w:pPr>
              <w:pStyle w:val="null3"/>
            </w:pPr>
            <w:r>
              <w:rPr>
                <w:rFonts w:ascii="仿宋_GB2312" w:hAnsi="仿宋_GB2312" w:cs="仿宋_GB2312" w:eastAsia="仿宋_GB2312"/>
                <w:b/>
              </w:rPr>
              <w:t>3.提供7*24运维服务,具体根据信息中心安排。</w:t>
            </w:r>
          </w:p>
          <w:p>
            <w:pPr>
              <w:pStyle w:val="null3"/>
            </w:pPr>
            <w:r>
              <w:rPr>
                <w:rFonts w:ascii="仿宋_GB2312" w:hAnsi="仿宋_GB2312" w:cs="仿宋_GB2312" w:eastAsia="仿宋_GB2312"/>
              </w:rPr>
              <w:t>（1）本运维要求涵盖对设备及系统的全面维护保障，具体包括：负责设备运行物理状态的监控与维护，定期进行设备整体除尘、电源稳定性检测及线路维护；实施系统性能定期巡检，完成固件微码及安全补丁的隐患筛查与更新，执行系统硬件诊断；同时维护弱电井环境整洁，完成线缆规范整理。</w:t>
            </w:r>
          </w:p>
          <w:p>
            <w:pPr>
              <w:pStyle w:val="null3"/>
            </w:pPr>
            <w:r>
              <w:rPr>
                <w:rFonts w:ascii="仿宋_GB2312" w:hAnsi="仿宋_GB2312" w:cs="仿宋_GB2312" w:eastAsia="仿宋_GB2312"/>
              </w:rPr>
              <w:t>（2）及时更换已损坏或存在潜在故障的部件，并协助医院进行网络架构的优化调整，提供具有可操作性的实质性建议与具体实施方案。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自合同签订之日起一年加一个月（招标过渡期）。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服务满6个月，运维工作通过甲方评估达到运维要求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服务期满一年（不包括招标过渡期）并通过验收后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3.本项目付款方式以合同中结算及付款方式为准。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及被授权代表磋商截止前近三个月内任意一个月的本单位养老保险缴纳证明。（法人参加只需提供法定代表人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本项目不接受由西安市第三医院职工及其亲属投资开办的企业参加本单位的政府采购活动（提供承诺函）；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供应商认为有必要补充说明的事项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响应文件对付款、服务期限、合同条款等商务要求进行响应，完全响应得2分，不响应或者存在负偏离不得分。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（合同）商务主要条款偏离表</w:t>
            </w:r>
          </w:p>
        </w:tc>
      </w:tr>
      <w:tr>
        <w:tc>
          <w:tcPr>
            <w:tcW w:type="dxa" w:w="831"/>
            <w:vMerge/>
          </w:tcP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供应商提供服务内容及要求，完全满足磋商文件服务要求，得15分；每有一项不满足或者存在负偏离，扣1分；扣完为止。 注：供应商需对提供的服务内容及要求进行响应说明。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针对本项目提供详细的服务方案，包括但不限于： ①针对本项目的服务方案，服务内容包括但不限于预防性维护、服务响应时间及方式、本地服务网点等定期巡检、远程诊断现场服务、响应时间等； ②完善的运行维护管理体系及服务策略； ③针对本项目标准化服务流程，包括不限于事件管理、问题管理、变更和发布管理、配置管理； ④有完善的项目管理方案； ⑤有完善的安全体系，确保系统安全可靠的安全框架、策略和制度； ⑥针对本项目的应急预案体系，能够评估运维中可能发生的突发状况。 二、评审标准 上述六项评审内容中： 每一项方案内容完全响应采购需求，且符合实际情况、方案详实，有针对性和可操作性，适用于本项目得5分； 方案内容基本合理，涵盖上述维度，基本满足医院需求的得3分；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供应商提供拟投入本项目的维保技术服务团队信息（不限于团队人员清单、人员资质证书及配置信息、岗位设置、从业经历等），工程师应具备丰富行业经验，服务团队成员具有但不局限于以下资质： 1.项目经理需具备高级信息系统项目管理师认证资格，提供一个证书得2分，不提供不得分。 2.现场服务工程师需具备中级及以上网络工程师认证资格，提供一个证书得2分，不提供不得分。 3.二线运维专家团队工程师需提供以下资质证书，每提供一个证书得1分，不提供不得分： ①高级网络工程师认证证书； ②中级安全工程师认证证书； 注：提供上述人员证书及近六个月任意一个月本单位社保缴纳证明，未提供不得分。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针对本项目提供详细的服务保障，包括但不限于： ①具有健全服务质量监督控制体系及信息安全管理体系； ②售后服务机构和备品备件库，以及备品备件库的管理制度并提供证明文件； ③提供电话7*24小时服务热线，持范围包括问题提交、问题远程指导、分析和排除、产品功能介绍、配置、安装、调试、客户化以及使用中遇到的技术问题的咨询等。 二、评审标准 上述三项评审内容中： 每一项方案内容完全响应采购需求，且符合实际情况、方案详实，有针对性和可操作性，适用于本项目得5分； 方案内容基本合理，涵盖上述维度，基本满足医院需求的得3分；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提供针对本项目的培训方案，包括但不限于培训计划、形式、时间、地点、人员以及培训内容。 二、评审标准 1.培训方案详细完整，得5分； 2.培训方案较为完整，得3分； 3.培训方案不够完整，得1分； 4.未提供培训方案，得0分。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能够明确提出医院与本项目相关信息化建设方面的合理化建议。 二、评审标准 1.建议内容详细完整，有针对性，得3分； 2.建议内容基本完善，得2分； 3.建议内容不够完整，得1分； 4.未提供方案，得0分。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需提供以下资质，不提供不得分，全部提供得4分。 1.信息安全管理体系认证证书：ISO/IEC 27001，得2分，未提供不得分。 2.信息技术服务运行维护标准三级及以上符合性证书（ITSS），得2分，未提供不得分。 注：以上所有证明文件，均为复印件加盖供应商公章。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综合实力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供应商提供2023年1月至今（以合同签订时间为准）的同类业绩证明文件，提供加盖供应商公章的完整的合同复印件或扫描件，每一份提供得2分，满分10分。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详见附件：（合同）商务主要条款偏离表</w:t>
      </w:r>
    </w:p>
    <w:p>
      <w:pPr>
        <w:pStyle w:val="null3"/>
        <w:ind w:firstLine="960"/>
      </w:pPr>
      <w:r>
        <w:rPr>
          <w:rFonts w:ascii="仿宋_GB2312" w:hAnsi="仿宋_GB2312" w:cs="仿宋_GB2312" w:eastAsia="仿宋_GB2312"/>
        </w:rPr>
        <w:t>详见附件：服务内容响应偏离表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详见附件：服务团队</w:t>
      </w:r>
    </w:p>
    <w:p>
      <w:pPr>
        <w:pStyle w:val="null3"/>
        <w:ind w:firstLine="960"/>
      </w:pPr>
      <w:r>
        <w:rPr>
          <w:rFonts w:ascii="仿宋_GB2312" w:hAnsi="仿宋_GB2312" w:cs="仿宋_GB2312" w:eastAsia="仿宋_GB2312"/>
        </w:rPr>
        <w:t>详见附件：服务保障</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详见附件：合理化建议</w:t>
      </w:r>
    </w:p>
    <w:p>
      <w:pPr>
        <w:pStyle w:val="null3"/>
        <w:ind w:firstLine="960"/>
      </w:pPr>
      <w:r>
        <w:rPr>
          <w:rFonts w:ascii="仿宋_GB2312" w:hAnsi="仿宋_GB2312" w:cs="仿宋_GB2312" w:eastAsia="仿宋_GB2312"/>
        </w:rPr>
        <w:t>详见附件：综合实力</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