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95F69">
      <w:pPr>
        <w:pageBreakBefore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 w:eastAsia="zh-CN"/>
        </w:rPr>
        <w:t>分项报价表</w:t>
      </w:r>
    </w:p>
    <w:bookmarkEnd w:id="0"/>
    <w:p w14:paraId="2E3DE4FE">
      <w:pPr>
        <w:widowControl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供应商根据采购需求自行编制</w:t>
      </w:r>
    </w:p>
    <w:p w14:paraId="09031BDE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71ADB8E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299C43A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46ED5BE">
      <w:pPr>
        <w:spacing w:line="360" w:lineRule="auto"/>
        <w:ind w:firstLine="3840" w:firstLineChars="16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703E8659">
      <w:pPr>
        <w:spacing w:line="360" w:lineRule="auto"/>
        <w:ind w:firstLine="3840" w:firstLineChars="16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206C7BA2">
      <w:pPr>
        <w:ind w:firstLine="3840" w:firstLineChars="1600"/>
        <w:rPr>
          <w:rFonts w:hint="default" w:ascii="仿宋" w:hAnsi="仿宋" w:eastAsia="仿宋" w:cs="仿宋"/>
          <w:sz w:val="20"/>
          <w:szCs w:val="2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2F344A7C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3D390582"/>
    <w:rsid w:val="5660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8CCBAE92C364469E8C414FD0BADF1F8A_13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