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C92EF">
      <w:pPr>
        <w:pageBreakBefore/>
        <w:adjustRightInd w:val="0"/>
        <w:snapToGrid w:val="0"/>
        <w:spacing w:line="360" w:lineRule="auto"/>
        <w:jc w:val="center"/>
        <w:outlineLvl w:val="1"/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培训方案</w:t>
      </w:r>
    </w:p>
    <w:bookmarkEnd w:id="0"/>
    <w:p w14:paraId="633BA541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格式自定</w:t>
      </w:r>
    </w:p>
    <w:p w14:paraId="3A9E8BB3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2E6D3CBB"/>
    <w:rsid w:val="399E1F94"/>
    <w:rsid w:val="3D390582"/>
    <w:rsid w:val="42872932"/>
    <w:rsid w:val="494552C4"/>
    <w:rsid w:val="4E8428DD"/>
    <w:rsid w:val="542C5727"/>
    <w:rsid w:val="56604D66"/>
    <w:rsid w:val="63976673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9146178BDDFD46E2A863B4DA543D6961_13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