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C7294">
      <w:pPr>
        <w:pageBreakBefore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 w:eastAsia="zh-CN"/>
        </w:rPr>
        <w:t>第一次磋商报价表</w:t>
      </w:r>
    </w:p>
    <w:bookmarkEnd w:id="0"/>
    <w:tbl>
      <w:tblPr>
        <w:tblStyle w:val="4"/>
        <w:tblW w:w="8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6488"/>
      </w:tblGrid>
      <w:tr w14:paraId="7BB3A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  <w:jc w:val="center"/>
        </w:trPr>
        <w:tc>
          <w:tcPr>
            <w:tcW w:w="2087" w:type="dxa"/>
            <w:noWrap/>
            <w:vAlign w:val="center"/>
          </w:tcPr>
          <w:p w14:paraId="3737F8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488" w:type="dxa"/>
            <w:noWrap/>
            <w:vAlign w:val="center"/>
          </w:tcPr>
          <w:p w14:paraId="036278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AEB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2087" w:type="dxa"/>
            <w:noWrap/>
            <w:vAlign w:val="center"/>
          </w:tcPr>
          <w:p w14:paraId="307D722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488" w:type="dxa"/>
            <w:noWrap/>
            <w:vAlign w:val="center"/>
          </w:tcPr>
          <w:p w14:paraId="3409A4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450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87" w:type="dxa"/>
            <w:noWrap/>
            <w:vAlign w:val="center"/>
          </w:tcPr>
          <w:p w14:paraId="0D06CB9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总报价</w:t>
            </w:r>
          </w:p>
          <w:p w14:paraId="2E0FEEB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488" w:type="dxa"/>
            <w:noWrap/>
            <w:vAlign w:val="center"/>
          </w:tcPr>
          <w:p w14:paraId="15E5C22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　</w:t>
            </w:r>
          </w:p>
          <w:p w14:paraId="4BB5A0A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大写：</w:t>
            </w:r>
          </w:p>
          <w:p w14:paraId="769F0E7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小写：</w:t>
            </w:r>
          </w:p>
          <w:p w14:paraId="26BC165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 w14:paraId="10676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2087" w:type="dxa"/>
            <w:noWrap/>
            <w:vAlign w:val="center"/>
          </w:tcPr>
          <w:p w14:paraId="053FC6B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服务期限</w:t>
            </w:r>
          </w:p>
        </w:tc>
        <w:tc>
          <w:tcPr>
            <w:tcW w:w="6488" w:type="dxa"/>
            <w:noWrap/>
            <w:vAlign w:val="center"/>
          </w:tcPr>
          <w:p w14:paraId="49F19A7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080A7174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说明：</w:t>
      </w:r>
    </w:p>
    <w:p w14:paraId="5E1AB8C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1.本表所列各项数据与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其它地方表述不一致时，以本表为准。</w:t>
      </w:r>
    </w:p>
    <w:p w14:paraId="17946BF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2.投标总报价以元为单位，四舍五入精确到小数点后两位。</w:t>
      </w:r>
    </w:p>
    <w:p w14:paraId="1967B164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3.投标总报价应与分项报价表中合计金额一致。</w:t>
      </w:r>
    </w:p>
    <w:p w14:paraId="652F92A6">
      <w:pPr>
        <w:widowControl/>
        <w:spacing w:line="360" w:lineRule="auto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</w:pPr>
    </w:p>
    <w:p w14:paraId="30706BAE">
      <w:pPr>
        <w:spacing w:line="360" w:lineRule="auto"/>
        <w:ind w:firstLine="3840" w:firstLineChars="1600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</w:p>
    <w:p w14:paraId="35CC68C3">
      <w:pPr>
        <w:spacing w:line="360" w:lineRule="auto"/>
        <w:ind w:firstLine="3840" w:firstLineChars="1600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708118C5">
      <w:pPr>
        <w:ind w:firstLine="3840" w:firstLineChars="1600"/>
        <w:rPr>
          <w:rFonts w:hint="default" w:ascii="仿宋" w:hAnsi="仿宋" w:eastAsia="仿宋" w:cs="仿宋"/>
          <w:sz w:val="20"/>
          <w:szCs w:val="2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5C4D4479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5660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53EF722B945D43C4B48B5EBD0590AAEB_11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