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AAD9D">
      <w:pPr>
        <w:pStyle w:val="3"/>
        <w:widowControl/>
        <w:spacing w:beforeAutospacing="0" w:afterAutospacing="0"/>
        <w:jc w:val="center"/>
        <w:rPr>
          <w:rFonts w:ascii="仿宋" w:hAnsi="仿宋" w:eastAsia="仿宋" w:cs="仿宋"/>
          <w:b/>
          <w:bCs/>
          <w:color w:val="auto"/>
          <w:sz w:val="56"/>
          <w:szCs w:val="56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Hans"/>
        </w:rPr>
        <w:t>方案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说明书</w:t>
      </w:r>
    </w:p>
    <w:p w14:paraId="5FFA32D9">
      <w:pPr>
        <w:wordWrap/>
        <w:topLinePunct w:val="0"/>
        <w:spacing w:before="120"/>
        <w:jc w:val="center"/>
        <w:rPr>
          <w:rFonts w:ascii="仿宋" w:hAnsi="仿宋" w:eastAsia="仿宋" w:cs="仿宋"/>
          <w:b/>
          <w:bCs/>
          <w:color w:val="auto"/>
          <w:sz w:val="32"/>
          <w:szCs w:val="28"/>
          <w:highlight w:val="none"/>
        </w:rPr>
      </w:pPr>
    </w:p>
    <w:p w14:paraId="53C79708">
      <w:pPr>
        <w:wordWrap/>
        <w:topLinePunct w:val="0"/>
        <w:spacing w:before="120"/>
        <w:ind w:firstLine="562" w:firstLineChars="200"/>
        <w:jc w:val="left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附件仅供参考，根据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文件要求及评审因素，其他格式自拟。</w:t>
      </w:r>
    </w:p>
    <w:p w14:paraId="7BD76FD5">
      <w:pPr>
        <w:rPr>
          <w:color w:val="auto"/>
          <w:highlight w:val="none"/>
        </w:rPr>
      </w:pPr>
    </w:p>
    <w:p w14:paraId="48E90EBF">
      <w:pPr>
        <w:rPr>
          <w:color w:val="auto"/>
          <w:highlight w:val="none"/>
        </w:rPr>
      </w:pPr>
    </w:p>
    <w:p w14:paraId="05487356">
      <w:pPr>
        <w:rPr>
          <w:color w:val="auto"/>
          <w:highlight w:val="none"/>
        </w:rPr>
      </w:pPr>
    </w:p>
    <w:p w14:paraId="0CE6F980">
      <w:pPr>
        <w:rPr>
          <w:color w:val="auto"/>
          <w:highlight w:val="none"/>
        </w:rPr>
      </w:pPr>
    </w:p>
    <w:p w14:paraId="23220394">
      <w:pPr>
        <w:rPr>
          <w:color w:val="auto"/>
          <w:highlight w:val="none"/>
        </w:rPr>
      </w:pPr>
    </w:p>
    <w:p w14:paraId="02A118F0">
      <w:pPr>
        <w:rPr>
          <w:color w:val="auto"/>
          <w:highlight w:val="none"/>
        </w:rPr>
      </w:pPr>
    </w:p>
    <w:p w14:paraId="13EC91EA">
      <w:pPr>
        <w:rPr>
          <w:color w:val="auto"/>
          <w:highlight w:val="none"/>
        </w:rPr>
      </w:pPr>
    </w:p>
    <w:p w14:paraId="7DE59D6E">
      <w:pPr>
        <w:rPr>
          <w:color w:val="auto"/>
          <w:highlight w:val="none"/>
        </w:rPr>
      </w:pPr>
    </w:p>
    <w:p w14:paraId="17543452">
      <w:pPr>
        <w:rPr>
          <w:color w:val="auto"/>
          <w:highlight w:val="none"/>
        </w:rPr>
      </w:pPr>
    </w:p>
    <w:p w14:paraId="68DC1CF2">
      <w:pPr>
        <w:rPr>
          <w:color w:val="auto"/>
          <w:highlight w:val="none"/>
        </w:rPr>
      </w:pPr>
    </w:p>
    <w:p w14:paraId="6E80D320">
      <w:pPr>
        <w:rPr>
          <w:rFonts w:ascii="仿宋" w:hAnsi="仿宋" w:eastAsia="仿宋" w:cs="仿宋"/>
          <w:color w:val="auto"/>
          <w:highlight w:val="none"/>
        </w:rPr>
      </w:pPr>
    </w:p>
    <w:p w14:paraId="031BF50A">
      <w:pPr>
        <w:rPr>
          <w:rFonts w:ascii="仿宋" w:hAnsi="仿宋" w:eastAsia="仿宋" w:cs="仿宋"/>
          <w:color w:val="auto"/>
          <w:highlight w:val="none"/>
        </w:rPr>
      </w:pPr>
    </w:p>
    <w:p w14:paraId="54C0D936">
      <w:pPr>
        <w:rPr>
          <w:rFonts w:ascii="仿宋" w:hAnsi="仿宋" w:eastAsia="仿宋" w:cs="仿宋"/>
          <w:color w:val="auto"/>
          <w:highlight w:val="none"/>
        </w:rPr>
      </w:pPr>
    </w:p>
    <w:p w14:paraId="0C093365">
      <w:pPr>
        <w:rPr>
          <w:rFonts w:ascii="仿宋" w:hAnsi="仿宋" w:eastAsia="仿宋" w:cs="仿宋"/>
          <w:color w:val="auto"/>
          <w:highlight w:val="none"/>
        </w:rPr>
      </w:pPr>
    </w:p>
    <w:p w14:paraId="2353C698">
      <w:pPr>
        <w:rPr>
          <w:rFonts w:ascii="仿宋" w:hAnsi="仿宋" w:eastAsia="仿宋" w:cs="仿宋"/>
          <w:color w:val="auto"/>
          <w:highlight w:val="none"/>
        </w:rPr>
      </w:pPr>
    </w:p>
    <w:p w14:paraId="45760A7E">
      <w:pPr>
        <w:rPr>
          <w:rFonts w:ascii="仿宋" w:hAnsi="仿宋" w:eastAsia="仿宋" w:cs="仿宋"/>
          <w:color w:val="auto"/>
          <w:highlight w:val="none"/>
        </w:rPr>
      </w:pPr>
    </w:p>
    <w:p w14:paraId="42732E5D">
      <w:pPr>
        <w:rPr>
          <w:rFonts w:ascii="仿宋" w:hAnsi="仿宋" w:eastAsia="仿宋" w:cs="仿宋"/>
          <w:color w:val="auto"/>
          <w:highlight w:val="none"/>
        </w:rPr>
      </w:pPr>
    </w:p>
    <w:p w14:paraId="76C7D348">
      <w:pPr>
        <w:rPr>
          <w:rFonts w:ascii="仿宋" w:hAnsi="仿宋" w:eastAsia="仿宋" w:cs="仿宋"/>
          <w:color w:val="auto"/>
          <w:highlight w:val="none"/>
        </w:rPr>
      </w:pPr>
    </w:p>
    <w:p w14:paraId="071F3A52">
      <w:pPr>
        <w:rPr>
          <w:rFonts w:ascii="仿宋" w:hAnsi="仿宋" w:eastAsia="仿宋" w:cs="仿宋"/>
          <w:color w:val="auto"/>
          <w:highlight w:val="none"/>
        </w:rPr>
      </w:pPr>
    </w:p>
    <w:p w14:paraId="513E2C04">
      <w:pPr>
        <w:rPr>
          <w:rFonts w:ascii="仿宋" w:hAnsi="仿宋" w:eastAsia="仿宋" w:cs="仿宋"/>
          <w:color w:val="auto"/>
          <w:highlight w:val="none"/>
        </w:rPr>
      </w:pPr>
    </w:p>
    <w:p w14:paraId="4C24F5DE">
      <w:pPr>
        <w:rPr>
          <w:rFonts w:ascii="仿宋" w:hAnsi="仿宋" w:eastAsia="仿宋" w:cs="仿宋"/>
          <w:color w:val="auto"/>
          <w:highlight w:val="none"/>
        </w:rPr>
      </w:pPr>
    </w:p>
    <w:p w14:paraId="0B757222">
      <w:pPr>
        <w:rPr>
          <w:rFonts w:ascii="仿宋" w:hAnsi="仿宋" w:eastAsia="仿宋" w:cs="仿宋"/>
          <w:color w:val="auto"/>
          <w:highlight w:val="none"/>
        </w:rPr>
      </w:pPr>
    </w:p>
    <w:p w14:paraId="49A2D417">
      <w:pPr>
        <w:rPr>
          <w:rFonts w:ascii="仿宋" w:hAnsi="仿宋" w:eastAsia="仿宋" w:cs="仿宋"/>
          <w:color w:val="auto"/>
          <w:highlight w:val="none"/>
        </w:rPr>
      </w:pPr>
    </w:p>
    <w:p w14:paraId="4474710B">
      <w:pPr>
        <w:pStyle w:val="2"/>
        <w:rPr>
          <w:rFonts w:ascii="仿宋" w:hAnsi="仿宋" w:eastAsia="仿宋" w:cs="仿宋"/>
          <w:color w:val="auto"/>
          <w:highlight w:val="none"/>
        </w:rPr>
      </w:pPr>
      <w:bookmarkStart w:id="0" w:name="_Toc23702"/>
      <w:bookmarkStart w:id="1" w:name="_Toc24186"/>
      <w:bookmarkStart w:id="2" w:name="_Toc7405"/>
      <w:r>
        <w:rPr>
          <w:rFonts w:hint="eastAsia" w:ascii="仿宋" w:hAnsi="仿宋" w:eastAsia="仿宋" w:cs="仿宋"/>
          <w:color w:val="auto"/>
          <w:highlight w:val="none"/>
        </w:rPr>
        <w:t>附件1</w:t>
      </w:r>
      <w:bookmarkEnd w:id="0"/>
      <w:bookmarkEnd w:id="1"/>
      <w:bookmarkEnd w:id="2"/>
    </w:p>
    <w:p w14:paraId="5DD83082">
      <w:pPr>
        <w:keepNext/>
        <w:keepLines/>
        <w:jc w:val="center"/>
        <w:outlineLvl w:val="2"/>
        <w:rPr>
          <w:rFonts w:ascii="仿宋" w:hAnsi="仿宋" w:eastAsia="仿宋" w:cs="仿宋"/>
          <w:b/>
          <w:color w:val="auto"/>
          <w:sz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32"/>
          <w:highlight w:val="none"/>
        </w:rPr>
        <w:t>业绩</w:t>
      </w:r>
    </w:p>
    <w:tbl>
      <w:tblPr>
        <w:tblStyle w:val="4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3C9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vAlign w:val="center"/>
          </w:tcPr>
          <w:p w14:paraId="229026AF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vAlign w:val="center"/>
          </w:tcPr>
          <w:p w14:paraId="02C5624F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2871" w:type="dxa"/>
            <w:vAlign w:val="center"/>
          </w:tcPr>
          <w:p w14:paraId="7684D1CC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284" w:type="dxa"/>
            <w:vAlign w:val="center"/>
          </w:tcPr>
          <w:p w14:paraId="1C1AE2DC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6276D948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2C6A20B7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0D49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vAlign w:val="center"/>
          </w:tcPr>
          <w:p w14:paraId="02FEA330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43" w:type="dxa"/>
            <w:vAlign w:val="center"/>
          </w:tcPr>
          <w:p w14:paraId="0C712AC9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71" w:type="dxa"/>
            <w:vAlign w:val="center"/>
          </w:tcPr>
          <w:p w14:paraId="3CD5940D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308E225C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46634A5A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708C24EC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0DC1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vAlign w:val="center"/>
          </w:tcPr>
          <w:p w14:paraId="18A9ABFD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43" w:type="dxa"/>
            <w:vAlign w:val="center"/>
          </w:tcPr>
          <w:p w14:paraId="39B4E42B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71" w:type="dxa"/>
            <w:vAlign w:val="center"/>
          </w:tcPr>
          <w:p w14:paraId="4FC0FCA6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1B2C68F6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1CF4DCB1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099B258B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5082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vAlign w:val="center"/>
          </w:tcPr>
          <w:p w14:paraId="6E9B94F0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43" w:type="dxa"/>
            <w:vAlign w:val="center"/>
          </w:tcPr>
          <w:p w14:paraId="4F5CD5BD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71" w:type="dxa"/>
            <w:vAlign w:val="center"/>
          </w:tcPr>
          <w:p w14:paraId="6D5B25A4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2BA58C56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28649EBD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2905E612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B8B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vAlign w:val="center"/>
          </w:tcPr>
          <w:p w14:paraId="77FA4A65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943" w:type="dxa"/>
            <w:vAlign w:val="center"/>
          </w:tcPr>
          <w:p w14:paraId="1079F277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71" w:type="dxa"/>
            <w:vAlign w:val="center"/>
          </w:tcPr>
          <w:p w14:paraId="02513619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6AB4D287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7D607D02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5337F180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5672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vAlign w:val="center"/>
          </w:tcPr>
          <w:p w14:paraId="418C5D1E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943" w:type="dxa"/>
            <w:vAlign w:val="center"/>
          </w:tcPr>
          <w:p w14:paraId="53B9C79F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71" w:type="dxa"/>
            <w:vAlign w:val="center"/>
          </w:tcPr>
          <w:p w14:paraId="7CBA9A89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vAlign w:val="center"/>
          </w:tcPr>
          <w:p w14:paraId="51947FA3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vAlign w:val="center"/>
          </w:tcPr>
          <w:p w14:paraId="61733DDC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vAlign w:val="center"/>
          </w:tcPr>
          <w:p w14:paraId="79890F16">
            <w:pPr>
              <w:wordWrap/>
              <w:topLinePunct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BBA0749">
      <w:pPr>
        <w:wordWrap/>
        <w:topLinePunct w:val="0"/>
        <w:rPr>
          <w:rFonts w:ascii="仿宋" w:hAnsi="仿宋" w:eastAsia="仿宋" w:cs="仿宋"/>
          <w:b/>
          <w:bCs/>
          <w:color w:val="auto"/>
          <w:kern w:val="0"/>
          <w:sz w:val="28"/>
          <w:szCs w:val="28"/>
          <w:highlight w:val="none"/>
        </w:rPr>
      </w:pPr>
    </w:p>
    <w:p w14:paraId="66E9EDA4">
      <w:pPr>
        <w:wordWrap/>
        <w:topLinePunct w:val="0"/>
        <w:rPr>
          <w:rFonts w:ascii="仿宋" w:hAnsi="仿宋" w:eastAsia="仿宋" w:cs="仿宋"/>
          <w:b/>
          <w:bCs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highlight w:val="none"/>
        </w:rPr>
        <w:t>注：后附相关业绩证明材料。</w:t>
      </w:r>
    </w:p>
    <w:p w14:paraId="2EC23332">
      <w:pPr>
        <w:wordWrap/>
        <w:topLinePunct w:val="0"/>
        <w:spacing w:before="156" w:beforeLines="50" w:line="480" w:lineRule="auto"/>
        <w:jc w:val="right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highlight w:val="none"/>
        </w:rPr>
        <w:t>（盖章）</w:t>
      </w:r>
    </w:p>
    <w:p w14:paraId="656741A5">
      <w:pPr>
        <w:wordWrap/>
        <w:topLinePunct w:val="0"/>
        <w:spacing w:before="156" w:beforeLines="50" w:line="480" w:lineRule="auto"/>
        <w:jc w:val="right"/>
        <w:rPr>
          <w:rFonts w:ascii="仿宋" w:hAnsi="仿宋" w:eastAsia="仿宋" w:cs="仿宋"/>
          <w:color w:val="auto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2F244FC2">
      <w:pPr>
        <w:wordWrap/>
        <w:topLinePunct w:val="0"/>
        <w:spacing w:before="156" w:beforeLines="50" w:line="480" w:lineRule="auto"/>
        <w:jc w:val="righ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日期：     年     月     日</w:t>
      </w:r>
    </w:p>
    <w:p w14:paraId="0D39F235"/>
    <w:p w14:paraId="4EBA2AFF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B7F1F"/>
    <w:rsid w:val="768B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2026-02-28T06:16:00Z</dcterms:created>
  <dc:creator>中技-陕分</dc:creator>
  <cp:lastModifiedBy>中技-陕分</cp:lastModifiedBy>
  <dcterms:modified xsi:type="dcterms:W3CDTF">2026-02-28T06:16:48Z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65E24152C0C742FCAFDB57D427E0427F_11</vt:lpwstr>
  </property>
  <property fmtid="{D5CDD505-2E9C-101B-9397-08002B2CF9AE}" pid="4" name="KSOTemplateDocerSaveRecord">
    <vt:lpwstr>eyJoZGlkIjoiYWYxOTA1ZGVlZTY3NmZkNjQ1ZjI5NTZjNGY5NTU4ZjYiLCJ1c2VySWQiOiI0MTk0MTM2MzYifQ==</vt:lpwstr>
  </property>
</Properties>
</file>