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版本号：MZ2026-CS100620260228001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游泳跳水馆水质维护项目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MZ2026-CS1006</w:t>
      </w:r>
      <w:r>
        <w:br/>
      </w:r>
      <w:r>
        <w:br/>
      </w:r>
      <w:r>
        <w:br/>
      </w:r>
    </w:p>
    <w:p>
      <w:pPr>
        <w:pStyle w:val="null3"/>
        <w:jc w:val="center"/>
        <w:outlineLvl w:val="2"/>
      </w:pPr>
      <w:r>
        <w:rPr>
          <w:rFonts w:ascii="仿宋_GB2312" w:hAnsi="仿宋_GB2312" w:cs="仿宋_GB2312" w:eastAsia="仿宋_GB2312"/>
          <w:sz w:val="28"/>
          <w:b/>
        </w:rPr>
        <w:t>西安市游泳运动管理中心</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西安市游泳运动管理中心</w:t>
      </w:r>
      <w:r>
        <w:rPr>
          <w:rFonts w:ascii="仿宋_GB2312" w:hAnsi="仿宋_GB2312" w:cs="仿宋_GB2312" w:eastAsia="仿宋_GB2312"/>
        </w:rPr>
        <w:t>委托，拟对</w:t>
      </w:r>
      <w:r>
        <w:rPr>
          <w:rFonts w:ascii="仿宋_GB2312" w:hAnsi="仿宋_GB2312" w:cs="仿宋_GB2312" w:eastAsia="仿宋_GB2312"/>
        </w:rPr>
        <w:t>游泳跳水馆水质维护项目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MZ2026-CS1006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游泳跳水馆水质维护项目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水质维护及检测，内容包括：跳水池30*25*5M,游泳池50*25*2M,总水量约为6400立方。服务期一年。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采购包1（游泳跳水馆水质维护项目）：属于专门面向中小企业采购。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书：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西安市游泳运动管理中心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西安市体育训练中心科研教学楼11层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029-88060589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冯瑶 韩微 张玉洁 乔艳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采购包1：499,200.00元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费管理暂行办法〉的通知》（计价格【2002】1980号）、《国家发展和改革委员会办公厅关于招标代理服务收费有关问题的通知》（发改办价格〔2003〕857号）规定收取，具体金额将在结果公告中公布。 成交单位的代理服务费交纳信息 银行户名：陕西明正招标有限公司 开户银行：招商银行股份有限公司西安白沙路支行 账 号：129907967910101 联系人：韩乐乐 联系电话：029-87551611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西安市游泳运动管理中心</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西安市游泳运动管理中心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西安市游泳运动管理中心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1.由采购人自行组织相关人员成立验收小组对项目进行验收，依据竞争性磋商文件、竞争性磋商响应文件及政府采购合同，结合考核情况和服务效果进行验收，形成验收报告。 2.其他未尽事宜应严格按照《财政部关于进一步加强政府采购需求和履约验收管理的指导意见》(财库(2016) 205号)的要求进行。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联系人：冯瑶</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地址：西安市雁塔区二环南路西段88号老三届世纪星大厦30层AB座</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水质维护及检测，内容包括：跳水池30*25*5M,游泳池50*25*2M,总水量约为6400立方。服务期一年。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499,200.00</w:t>
      </w:r>
    </w:p>
    <w:p>
      <w:pPr>
        <w:pStyle w:val="null3"/>
      </w:pPr>
      <w:r>
        <w:rPr>
          <w:rFonts w:ascii="仿宋_GB2312" w:hAnsi="仿宋_GB2312" w:cs="仿宋_GB2312" w:eastAsia="仿宋_GB2312"/>
        </w:rPr>
        <w:t>采购包最高限价（元）: 499,200.00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游泳跳水馆水质维护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499,200.00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标的名称：游泳跳水馆水质维护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水质维护及检测</w:t>
            </w:r>
            <w:r>
              <w:rPr>
                <w:rFonts w:ascii="仿宋_GB2312" w:hAnsi="仿宋_GB2312" w:cs="仿宋_GB2312" w:eastAsia="仿宋_GB2312"/>
              </w:rPr>
              <w:t>，</w:t>
            </w:r>
            <w:r>
              <w:rPr>
                <w:rFonts w:ascii="仿宋_GB2312" w:hAnsi="仿宋_GB2312" w:cs="仿宋_GB2312" w:eastAsia="仿宋_GB2312"/>
              </w:rPr>
              <w:t>内容包括</w:t>
            </w:r>
            <w:r>
              <w:rPr>
                <w:rFonts w:ascii="仿宋_GB2312" w:hAnsi="仿宋_GB2312" w:cs="仿宋_GB2312" w:eastAsia="仿宋_GB2312"/>
              </w:rPr>
              <w:t>：</w:t>
            </w:r>
            <w:r>
              <w:rPr>
                <w:rFonts w:ascii="仿宋_GB2312" w:hAnsi="仿宋_GB2312" w:cs="仿宋_GB2312" w:eastAsia="仿宋_GB2312"/>
              </w:rPr>
              <w:t>跳水池</w:t>
            </w:r>
            <w:r>
              <w:rPr>
                <w:rFonts w:ascii="仿宋_GB2312" w:hAnsi="仿宋_GB2312" w:cs="仿宋_GB2312" w:eastAsia="仿宋_GB2312"/>
              </w:rPr>
              <w:t>30*25*5M,游泳池50*25*2M,总水量约为6400立方。服务期一年。</w:t>
            </w:r>
          </w:p>
          <w:p>
            <w:pPr>
              <w:pStyle w:val="null3"/>
              <w:jc w:val="both"/>
            </w:pPr>
            <w:r>
              <w:rPr>
                <w:rFonts w:ascii="仿宋_GB2312" w:hAnsi="仿宋_GB2312" w:cs="仿宋_GB2312" w:eastAsia="仿宋_GB2312"/>
                <w:b/>
              </w:rPr>
              <w:t>1、水质检测：日常监测试剂药品和每一季度水质第三方检测报告</w:t>
            </w:r>
          </w:p>
          <w:p>
            <w:pPr>
              <w:pStyle w:val="null3"/>
              <w:jc w:val="both"/>
            </w:pPr>
            <w:r>
              <w:rPr>
                <w:rFonts w:ascii="仿宋_GB2312" w:hAnsi="仿宋_GB2312" w:cs="仿宋_GB2312" w:eastAsia="仿宋_GB2312"/>
              </w:rPr>
              <w:t>①根据中华人民共和国国家标准公共场所卫生指标要求及限值要求，人工泳池指标符合下图要求，其原水及补充用水应符合GB37488-2019的要求。人工游池水质标准如下：</w:t>
            </w:r>
          </w:p>
          <w:tbl>
            <w:tblPr>
              <w:tblInd w:type="dxa" w:w="240"/>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指标</w:t>
                  </w:r>
                </w:p>
              </w:tc>
              <w:tc>
                <w:tcPr>
                  <w:tcW w:type="dxa" w:w="8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要求</w:t>
                  </w:r>
                </w:p>
              </w:tc>
              <w:tc>
                <w:tcPr>
                  <w:tcW w:type="dxa" w:w="8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备注</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游泳池水浑浊度</w:t>
                  </w:r>
                  <w:r>
                    <w:rPr>
                      <w:rFonts w:ascii="仿宋_GB2312" w:hAnsi="仿宋_GB2312" w:cs="仿宋_GB2312" w:eastAsia="仿宋_GB2312"/>
                      <w:sz w:val="20"/>
                      <w:color w:val="000000"/>
                    </w:rPr>
                    <w:t>/NTU</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PH</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7.0--7.8</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游离性余氯</w:t>
                  </w:r>
                  <w:r>
                    <w:rPr>
                      <w:rFonts w:ascii="仿宋_GB2312" w:hAnsi="仿宋_GB2312" w:cs="仿宋_GB2312" w:eastAsia="仿宋_GB2312"/>
                      <w:sz w:val="20"/>
                      <w:color w:val="000000"/>
                    </w:rPr>
                    <w:t>/(mg/L)</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0.3--1.0</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使用氯气及游离制消毒</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化合性余氯</w:t>
                  </w:r>
                  <w:r>
                    <w:rPr>
                      <w:rFonts w:ascii="仿宋_GB2312" w:hAnsi="仿宋_GB2312" w:cs="仿宋_GB2312" w:eastAsia="仿宋_GB2312"/>
                      <w:sz w:val="20"/>
                      <w:color w:val="000000"/>
                    </w:rPr>
                    <w:t>/(mg/L)</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≤0.4</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使用氯气及游离制消毒</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脚池游离性余氯</w:t>
                  </w:r>
                  <w:r>
                    <w:rPr>
                      <w:rFonts w:ascii="仿宋_GB2312" w:hAnsi="仿宋_GB2312" w:cs="仿宋_GB2312" w:eastAsia="仿宋_GB2312"/>
                      <w:sz w:val="20"/>
                      <w:color w:val="000000"/>
                    </w:rPr>
                    <w:t>(mg/L)</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5~10</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水温</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26℃--28℃</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臭氧</w:t>
                  </w:r>
                  <w:r>
                    <w:rPr>
                      <w:rFonts w:ascii="仿宋_GB2312" w:hAnsi="仿宋_GB2312" w:cs="仿宋_GB2312" w:eastAsia="仿宋_GB2312"/>
                      <w:sz w:val="20"/>
                      <w:color w:val="000000"/>
                    </w:rPr>
                    <w:t>(mg/m²)</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≤0.2</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使用臭氧消毒时要求水面上方</w:t>
                  </w:r>
                  <w:r>
                    <w:rPr>
                      <w:rFonts w:ascii="仿宋_GB2312" w:hAnsi="仿宋_GB2312" w:cs="仿宋_GB2312" w:eastAsia="仿宋_GB2312"/>
                      <w:sz w:val="20"/>
                      <w:color w:val="000000"/>
                    </w:rPr>
                    <w:t>20cm 空气浓度</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氧化还原电位</w:t>
                  </w:r>
                  <w:r>
                    <w:rPr>
                      <w:rFonts w:ascii="仿宋_GB2312" w:hAnsi="仿宋_GB2312" w:cs="仿宋_GB2312" w:eastAsia="仿宋_GB2312"/>
                      <w:sz w:val="20"/>
                      <w:color w:val="000000"/>
                    </w:rPr>
                    <w:t>(ORP)/mV</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≥650</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采用氯和臭氧消毒时</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氰尿酸</w:t>
                  </w:r>
                  <w:r>
                    <w:rPr>
                      <w:rFonts w:ascii="仿宋_GB2312" w:hAnsi="仿宋_GB2312" w:cs="仿宋_GB2312" w:eastAsia="仿宋_GB2312"/>
                      <w:sz w:val="20"/>
                      <w:color w:val="000000"/>
                    </w:rPr>
                    <w:t>/(mg/L)</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≤50</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使用二氯异氰尿酸和三氯异氰尿酸消毒时要求</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尿素</w:t>
                  </w:r>
                  <w:r>
                    <w:rPr>
                      <w:rFonts w:ascii="仿宋_GB2312" w:hAnsi="仿宋_GB2312" w:cs="仿宋_GB2312" w:eastAsia="仿宋_GB2312"/>
                      <w:sz w:val="20"/>
                      <w:color w:val="000000"/>
                    </w:rPr>
                    <w:t>/(mg/L)</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≤3.5</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菌落总数</w:t>
                  </w:r>
                  <w:r>
                    <w:rPr>
                      <w:rFonts w:ascii="仿宋_GB2312" w:hAnsi="仿宋_GB2312" w:cs="仿宋_GB2312" w:eastAsia="仿宋_GB2312"/>
                      <w:sz w:val="20"/>
                      <w:color w:val="000000"/>
                    </w:rPr>
                    <w:t>(CFU/mL)</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≤200</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一</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大肠菌群</w:t>
                  </w:r>
                  <w:r>
                    <w:rPr>
                      <w:rFonts w:ascii="仿宋_GB2312" w:hAnsi="仿宋_GB2312" w:cs="仿宋_GB2312" w:eastAsia="仿宋_GB2312"/>
                      <w:sz w:val="20"/>
                      <w:color w:val="000000"/>
                    </w:rPr>
                    <w:t>(CFU/100mL或MPN/100mL)</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不得检出</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w:t>
                  </w:r>
                </w:p>
              </w:tc>
            </w:tr>
            <w:tr>
              <w:tc>
                <w:tcPr>
                  <w:tcW w:type="dxa" w:w="8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其他毒理指标</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按</w:t>
                  </w:r>
                  <w:r>
                    <w:rPr>
                      <w:rFonts w:ascii="仿宋_GB2312" w:hAnsi="仿宋_GB2312" w:cs="仿宋_GB2312" w:eastAsia="仿宋_GB2312"/>
                      <w:sz w:val="20"/>
                      <w:color w:val="000000"/>
                    </w:rPr>
                    <w:t>GB5749执行</w:t>
                  </w:r>
                </w:p>
              </w:tc>
              <w:tc>
                <w:tcPr>
                  <w:tcW w:type="dxa" w:w="8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根据水质情况选择</w:t>
                  </w:r>
                </w:p>
              </w:tc>
            </w:tr>
          </w:tbl>
          <w:p>
            <w:pPr>
              <w:pStyle w:val="null3"/>
              <w:jc w:val="both"/>
            </w:pPr>
            <w:r>
              <w:rPr>
                <w:rFonts w:ascii="仿宋_GB2312" w:hAnsi="仿宋_GB2312" w:cs="仿宋_GB2312" w:eastAsia="仿宋_GB2312"/>
              </w:rPr>
              <w:t>②在服务期间，每日对水质测试不少于五次，并将用药记录在册。按国标正常补充新水，保证24小时运行的电负荷。</w:t>
            </w:r>
          </w:p>
          <w:p>
            <w:pPr>
              <w:pStyle w:val="null3"/>
              <w:jc w:val="both"/>
            </w:pPr>
            <w:r>
              <w:rPr>
                <w:rFonts w:ascii="仿宋_GB2312" w:hAnsi="仿宋_GB2312" w:cs="仿宋_GB2312" w:eastAsia="仿宋_GB2312"/>
              </w:rPr>
              <w:t>③自行配备电子水质测试仪和自动吸污机，费用自行承担。在服务期间配合采购人接受卫生部门和第三方（临检）抽检和送样，达到水质要求。</w:t>
            </w:r>
          </w:p>
          <w:p>
            <w:pPr>
              <w:pStyle w:val="null3"/>
              <w:jc w:val="both"/>
            </w:pPr>
            <w:r>
              <w:rPr>
                <w:rFonts w:ascii="仿宋_GB2312" w:hAnsi="仿宋_GB2312" w:cs="仿宋_GB2312" w:eastAsia="仿宋_GB2312"/>
              </w:rPr>
              <w:t>④在服务期间如因为人为原因出现水质异常或水质不达标，采购人视情况给予相应扣款处罚。</w:t>
            </w:r>
          </w:p>
          <w:p>
            <w:pPr>
              <w:pStyle w:val="null3"/>
              <w:jc w:val="both"/>
            </w:pPr>
            <w:r>
              <w:rPr>
                <w:rFonts w:ascii="仿宋_GB2312" w:hAnsi="仿宋_GB2312" w:cs="仿宋_GB2312" w:eastAsia="仿宋_GB2312"/>
                <w:b/>
              </w:rPr>
              <w:t>2、药品消耗配备</w:t>
            </w:r>
          </w:p>
          <w:tbl>
            <w:tblPr>
              <w:tblInd w:type="dxa" w:w="21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备注</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消毒药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r>
                    <w:rPr>
                      <w:rFonts w:ascii="仿宋_GB2312" w:hAnsi="仿宋_GB2312" w:cs="仿宋_GB2312" w:eastAsia="仿宋_GB2312"/>
                      <w:sz w:val="20"/>
                      <w:color w:val="000000"/>
                    </w:rPr>
                    <w:t>/50KG</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包含缓释和速溶</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澄清剂</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r>
                    <w:rPr>
                      <w:rFonts w:ascii="仿宋_GB2312" w:hAnsi="仿宋_GB2312" w:cs="仿宋_GB2312" w:eastAsia="仿宋_GB2312"/>
                      <w:sz w:val="20"/>
                      <w:color w:val="000000"/>
                    </w:rPr>
                    <w:t>/1KG</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净化水质</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PH调节剂-</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r>
                    <w:rPr>
                      <w:rFonts w:ascii="仿宋_GB2312" w:hAnsi="仿宋_GB2312" w:cs="仿宋_GB2312" w:eastAsia="仿宋_GB2312"/>
                      <w:sz w:val="20"/>
                      <w:color w:val="000000"/>
                    </w:rPr>
                    <w:t>/20KG</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酸碱调节剂</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除藻剂</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r>
                    <w:rPr>
                      <w:rFonts w:ascii="仿宋_GB2312" w:hAnsi="仿宋_GB2312" w:cs="仿宋_GB2312" w:eastAsia="仿宋_GB2312"/>
                      <w:sz w:val="20"/>
                      <w:color w:val="000000"/>
                    </w:rPr>
                    <w:t>/1KG</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灭藻</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臭氧粉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r>
                    <w:rPr>
                      <w:rFonts w:ascii="仿宋_GB2312" w:hAnsi="仿宋_GB2312" w:cs="仿宋_GB2312" w:eastAsia="仿宋_GB2312"/>
                      <w:sz w:val="20"/>
                      <w:color w:val="000000"/>
                    </w:rPr>
                    <w:t>/3KG</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提高水中含氧量</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水质活化剂</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r>
                    <w:rPr>
                      <w:rFonts w:ascii="仿宋_GB2312" w:hAnsi="仿宋_GB2312" w:cs="仿宋_GB2312" w:eastAsia="仿宋_GB2312"/>
                      <w:sz w:val="20"/>
                      <w:color w:val="000000"/>
                    </w:rPr>
                    <w:t>/1KG</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去除结合氯</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氯综合剂</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r>
                    <w:rPr>
                      <w:rFonts w:ascii="仿宋_GB2312" w:hAnsi="仿宋_GB2312" w:cs="仿宋_GB2312" w:eastAsia="仿宋_GB2312"/>
                      <w:sz w:val="20"/>
                      <w:color w:val="000000"/>
                    </w:rPr>
                    <w:t>/3KG</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氯冲击消毒后，降低氯含量</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防护劳保用品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r>
                    <w:rPr>
                      <w:rFonts w:ascii="仿宋_GB2312" w:hAnsi="仿宋_GB2312" w:cs="仿宋_GB2312" w:eastAsia="仿宋_GB2312"/>
                      <w:sz w:val="20"/>
                      <w:color w:val="000000"/>
                    </w:rPr>
                    <w:t>/年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投放消毒药品使用</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尿素去除剂</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r>
                    <w:rPr>
                      <w:rFonts w:ascii="仿宋_GB2312" w:hAnsi="仿宋_GB2312" w:cs="仿宋_GB2312" w:eastAsia="仿宋_GB2312"/>
                      <w:sz w:val="20"/>
                      <w:color w:val="000000"/>
                    </w:rPr>
                    <w:t>/1KG</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解决水中尿素超标问题</w:t>
                  </w:r>
                </w:p>
              </w:tc>
            </w:tr>
          </w:tbl>
          <w:p>
            <w:pPr>
              <w:pStyle w:val="null3"/>
              <w:jc w:val="both"/>
            </w:pPr>
            <w:r>
              <w:rPr>
                <w:rFonts w:ascii="仿宋_GB2312" w:hAnsi="仿宋_GB2312" w:cs="仿宋_GB2312" w:eastAsia="仿宋_GB2312"/>
                <w:b/>
              </w:rPr>
              <w:t>3、在服务期间，本项目需要配备4名工作人员，含一名电工。期间技术人员24小时跟踪服务（夜间要求工作人员值班）在馆内。</w:t>
            </w:r>
          </w:p>
          <w:p>
            <w:pPr>
              <w:pStyle w:val="null3"/>
            </w:pPr>
            <w:r>
              <w:rPr>
                <w:rFonts w:ascii="仿宋_GB2312" w:hAnsi="仿宋_GB2312" w:cs="仿宋_GB2312" w:eastAsia="仿宋_GB2312"/>
                <w:sz w:val="21"/>
              </w:rPr>
              <w:t>①要加强对自己工作人员的安全思想教育，持证上岗，规范操作并遵守游泳场馆安全管理规定。否则所造成的损失或人身安全事故，自行承担全部责任。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本项目需要配备4名工作人员，含一名电工。期间技术人员24小时跟踪服务（夜间要求工作人员值班）在馆内。</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供应商须按照本项目需求配备相应的设施设备服务于本项目。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1.由采购人自行组织相关人员成立验收小组对项目进行验收，依据竞争性磋商文件、竞争性磋商响应文件及政府采购合同，结合考核情况和服务效果进行验收，形成验收报告。 2.其他未尽事宜应严格按照《财政部关于进一步加强政府采购需求和履约验收管理的指导意见》(财库(2016) 205号)的要求进行。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合同签订后，水质维护服务持续满1个月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合同签订后，水质维护服务持续满5个月</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成交供应商须在结果公告发布之日起5个工作日内，提交响应文件一正一副（双面打印）至西安市雁塔区二环南路西段88号老三届世纪星大厦30层AB座（陕西明正招标有限公司）。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（1）供应商应具有独立承担民事责任的能力的企业法人、事业法人、其他组织或自然人，出具合法有效的营业执照等相关证明文件，自然人参与的提供其身份证明（加盖公章） （2）财务状况报告：提供经审计的2024或2025年度财务报告或磋商前六个月内其本公司银行账户出具的资信证明或政府采购专业担保机构出具的磋商担保函（事业单位可不提供）（加盖公章）。 （3）税收缴纳证明：供应商提供截止至磋商时间前六个月任一月份的缴费凭据；依法免税的应提供相关文件证明（加盖公章） （4）社会保障资金缴纳证明：供应商提供截止至磋商时间前六个月任一月份的缴费凭据或社保机构开具的社会保险参保缴费情况证明；依法不需要缴纳社会保障资金的应提供相关文件证明（加盖公章）。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提供经审计的2024或2025年度财务报告或磋商前六个月内其本公司银行账户出具的资信证明或政府采购专业担保机构出具的磋商担保函（事业单位可不提供）（加盖公章）。</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标委员会应当要求其在合理的时间内对投标（响应）价格做出解释，提供项目具体成本测算等与报价合理性相关的书面说明及必要的证明材料，包括但不限于原材料成本、人工成本、制造费用等，给予相关供应商的合理时间一般不少于30分钟。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分项报价表.docx 特殊资格要求.docx 供应商认为有必要补充说明的事项.docx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特殊资格要求.docx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 （2）报价均未超出采购预算和最高限价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完全响应商务条款及服务内容及服务要求条款</w:t>
            </w:r>
          </w:p>
        </w:tc>
        <w:tc>
          <w:tcPr>
            <w:tcW w:type="dxa" w:w="1661"/>
          </w:tcPr>
          <w:p>
            <w:pPr>
              <w:pStyle w:val="null3"/>
            </w:pPr>
            <w:r>
              <w:rPr>
                <w:rFonts w:ascii="仿宋_GB2312" w:hAnsi="仿宋_GB2312" w:cs="仿宋_GB2312" w:eastAsia="仿宋_GB2312"/>
              </w:rPr>
              <w:t>商务要求响应偏离表.docx 服务内容及要求响应偏离表.docx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分项报价表.docx 特殊资格要求.docx 供应商认为有必要补充说明的事项.docx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分项报价表.docx 特殊资格要求.docx 供应商认为有必要补充说明的事项.docx 残疾人福利性单位声明函 业绩证明材料.docx 标的清单 商务要求响应偏离表.docx 服务内容及要求响应偏离表.docx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针对本项目有具体的水质检测服务方案，包括：①水质检测内容及执行标准、②水质检测流程及采样点设置合理、③检测工具配备、④出现水质异常或水质检测不达标处理措施。以上内容全面、合理、切实可行，无缺陷计20分；每有一项方案缺失扣5分，每存在一种缺陷扣1分，扣完为止；未提供不计分。 2、针对本项目有具体的水质维护方案，包括：①水质维护药品的供应来源渠道及配送运输、②水质维护药品的消耗计划及设施设备配备计划、③水质维护规范及操作流程、④卫生部门和第三方（临检）抽检和送样配合、⑤服务质量保证及验收方案。以上内容全面、合理、切实可行，无缺陷计25分；每有一项方案缺失扣5分，每存在一种缺陷扣1分，扣完为止；未提供不计分。 注：以上“缺陷”是①内容不合理、虽有内容但内容稀疏、不完整或缺少关键点；②非专门针对本项目或不适用本项目特性、套用其他项目内容；③对同一问题前后表述矛盾，存在逻辑漏洞、科学原理或常识错误；④不利于本项目目标的实现、现有条件下不可能出现的情形等任意一种情形。</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1、项目组人员具有水质管理员证书，每提供一个证书计2分，满分8分，其中有水处理高级工程师证书的加2分，有电工证的加1分，以上可以叠加，此项满分11分。 2、针对本项目拟派人员有详细合理的考核制度，考核内容包括但不限于实际出勤情况、现场工作纪律、业务能力、请销假管理、奖惩制度等。考核制度完善、合理、切实可行无缺陷计4分；每存在一种缺陷扣1分，扣完为止；未提供不计分。 注：以上“缺陷”是①内容不合理、虽有内容但内容稀疏、不完整或缺少关键点；②非专门针对本项目或不适用本项目特性、套用其他项目内容；③对同一问题前后表述矛盾，存在逻辑漏洞、科学原理或常识错误；④不利于本项目目标的实现、现有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针对本项目及采购人实际需求提供详细具体可行的服务措施及承诺，服务措施及承诺完善、合理、切实可行，无缺陷计10分；每存在一种缺陷扣2.5分，扣完为止；未提供不计分。 注：以上“缺陷”是①内容不合理、虽有内容但内容稀疏、不完整或缺少关键点；②非专门针对本项目或不适用本项目特性、套用其他项目内容；③对同一问题前后表述矛盾，存在逻辑漏洞、科学原理或常识错误；④不利于本项目目标的实现、现有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制定具有可操作性的处理突发事件的应急预案，包括：①服务人员中途离职、②重大比赛、集训期间的水质维护、③其他临时突发事件应急预案。以上内容全面、合理、切实可行，无缺陷计9分；每有一项方案缺失扣3分，每存在一种缺陷扣0.5分，扣完为止；未提供不计分。 缺注：以上“缺陷”是①内容不合理、虽有内容但内容稀疏、不完整或缺少关键点；②非专门针对本项目或不适用本项目特性、套用其他项目内容；③对同一问题前后表述矛盾，存在逻辑漏洞、科学原理或常识错误；④不利于本项目目标的实现、现有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提供自2023年至今类似项目的业绩，每提供一份计2分，最高计6分。（以合同为准，复印件加盖供应商公章）。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详见附件：服务内容及要求响应偏离表.docx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