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版本号：ZK-CS-2026-01220260228001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西安市鄠邑区乡镇级集中式饮用水水源保护区规范化建设项目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ZK-CS-2026-012</w:t>
      </w:r>
      <w:r>
        <w:br/>
      </w:r>
      <w:r>
        <w:br/>
      </w:r>
      <w:r>
        <w:br/>
      </w:r>
    </w:p>
    <w:p>
      <w:pPr>
        <w:pStyle w:val="null3"/>
        <w:jc w:val="center"/>
        <w:outlineLvl w:val="2"/>
      </w:pPr>
      <w:r>
        <w:rPr>
          <w:rFonts w:ascii="仿宋_GB2312" w:hAnsi="仿宋_GB2312" w:cs="仿宋_GB2312" w:eastAsia="仿宋_GB2312"/>
          <w:sz w:val="28"/>
          <w:b/>
        </w:rPr>
        <w:t>西安市生态环境局鄠邑分局</w:t>
      </w:r>
    </w:p>
    <w:p>
      <w:pPr>
        <w:pStyle w:val="null3"/>
        <w:jc w:val="center"/>
        <w:outlineLvl w:val="2"/>
      </w:pPr>
      <w:r>
        <w:rPr>
          <w:rFonts w:ascii="仿宋_GB2312" w:hAnsi="仿宋_GB2312" w:cs="仿宋_GB2312" w:eastAsia="仿宋_GB2312"/>
          <w:sz w:val="28"/>
          <w:b/>
        </w:rPr>
        <w:t>陕西梓鲲企业管理有限公司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陕西梓鲲企业管理有限公司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西安市生态环境局鄠邑分局</w:t>
      </w:r>
      <w:r>
        <w:rPr>
          <w:rFonts w:ascii="仿宋_GB2312" w:hAnsi="仿宋_GB2312" w:cs="仿宋_GB2312" w:eastAsia="仿宋_GB2312"/>
        </w:rPr>
        <w:t>委托，拟对</w:t>
      </w:r>
      <w:r>
        <w:rPr>
          <w:rFonts w:ascii="仿宋_GB2312" w:hAnsi="仿宋_GB2312" w:cs="仿宋_GB2312" w:eastAsia="仿宋_GB2312"/>
        </w:rPr>
        <w:t>西安市鄠邑区乡镇级集中式饮用水水源保护区规范化建设项目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ZK-CS-2026-012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西安市鄠邑区乡镇级集中式饮用水水源保护区规范化建设项目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鄠邑区集中式饮用水水源区规范化建设项目包括五竹街道侯家庙村水源地、涝店街道谭家村水源地、涝店街道涝下村地下水水源地、祖庵街道北寺村水源地、余下街道余下村水源地、甘河街道甘河村地下水水源地、石井街道石东村地下水水源地、玉蝉街道水亭村地下水水源地、渭丰街道渭北村地下水水源地，共9个集中式饮用水水源地。本项目共设置界桩68个、界标17块、宣传牌19块、交通警示牌53块；配备水源地水源保护区保护日常管理所需的设备、仪器；配备应急物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采购包1（西安市鄠邑区乡镇级集中式饮用水水源保护区规范化建设项目）：属于专门面向中小企业采购。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2、法定代表人授权委托书：法定代表人直接参加磋商的，须出具法定代表人证明书及身份证；法定代表人授权代表参加磋商的，须出具法定代表人授权书及授权代表身份证</w:t>
      </w:r>
    </w:p>
    <w:p>
      <w:pPr>
        <w:pStyle w:val="null3"/>
      </w:pPr>
      <w:r>
        <w:rPr>
          <w:rFonts w:ascii="仿宋_GB2312" w:hAnsi="仿宋_GB2312" w:cs="仿宋_GB2312" w:eastAsia="仿宋_GB2312"/>
        </w:rPr>
        <w:t>3、良好的商业信誉和健全的财务会计制度：2023或2024年度经审计的财务报告或在2025年6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税收缴纳证明：提供自2025年06月01日至递交磋商响应文件截止之日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自2025年06月01日至递交磋商响应文件截止之日内任意一个月的社会保障资金缴存单据或社保机构开具的社会保险参保缴费情况证明。依法不需要缴纳社会保障资金的供应商应提供相应证明文件</w:t>
      </w:r>
    </w:p>
    <w:p>
      <w:pPr>
        <w:pStyle w:val="null3"/>
      </w:pPr>
      <w:r>
        <w:rPr>
          <w:rFonts w:ascii="仿宋_GB2312" w:hAnsi="仿宋_GB2312" w:cs="仿宋_GB2312" w:eastAsia="仿宋_GB2312"/>
        </w:rPr>
        <w:t>6、具有履行本合同所必需的设备和专业技术能力：提供具有履行本合同所必需的设备和专业技术能力的书面声明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7、参加政府采购活动前3年内在经营活动中没有重大违法记录：提供参加政府采购活动前3年内在经营活动中没有重大违法记录的书面声明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8、信誉要求：截止至响应文件递交截止时间之前，供应商未在“信用中国”网站（www.creditchina.gov.cn）中被列入“信用服务”查询栏目”失信被执行人”或“重大税收违法案件当事人”名单；未被列入“中国政府采购网(www.ccgp.gov.cn)”“政府采购严重违法失信行为记录名单”需提供网站截图。（以采购人或采购代理机构开标当天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西安市生态环境局鄠邑分局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鄠邑区吕公东路中段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西安市环境保护局鄠邑分局经办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84884309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陕西梓鲲企业管理有限公司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陕西省西安市市辖区西安市高新区锦业一路与丈八二路十字东南角永威时代中心30楼3001室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陶莹、郭梦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029-81142611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西安市生态环境局鄠邑分局</w:t>
      </w:r>
      <w:r>
        <w:rPr>
          <w:rFonts w:ascii="仿宋_GB2312" w:hAnsi="仿宋_GB2312" w:cs="仿宋_GB2312" w:eastAsia="仿宋_GB2312"/>
        </w:rPr>
        <w:t>和</w:t>
      </w:r>
      <w:r>
        <w:rPr>
          <w:rFonts w:ascii="仿宋_GB2312" w:hAnsi="仿宋_GB2312" w:cs="仿宋_GB2312" w:eastAsia="仿宋_GB2312"/>
        </w:rPr>
        <w:t>陕西梓鲲企业管理有限公司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西安市生态环境局鄠邑分局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陕西梓鲲企业管理有限公司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陕西梓鲲企业管理有限公司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联系人：陶莹、郭梦</w:t>
      </w:r>
    </w:p>
    <w:p>
      <w:pPr>
        <w:pStyle w:val="null3"/>
      </w:pPr>
      <w:r>
        <w:rPr>
          <w:rFonts w:ascii="仿宋_GB2312" w:hAnsi="仿宋_GB2312" w:cs="仿宋_GB2312" w:eastAsia="仿宋_GB2312"/>
        </w:rPr>
        <w:t>联系电话：029-81142611</w:t>
      </w:r>
    </w:p>
    <w:p>
      <w:pPr>
        <w:pStyle w:val="null3"/>
      </w:pPr>
      <w:r>
        <w:rPr>
          <w:rFonts w:ascii="仿宋_GB2312" w:hAnsi="仿宋_GB2312" w:cs="仿宋_GB2312" w:eastAsia="仿宋_GB2312"/>
        </w:rPr>
        <w:t>地址：陕西省西安市高新区锦业一路与丈八二路十字东南角永威时代中心30楼3001室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鄠邑区集中式饮用水水源区规范化建设项目包括五竹街道侯家庙村水源地、涝店街道谭家村水源地、涝店街道涝下村地下水水源地、祖庵街道北寺村水源地、余下街道余下村水源地、甘河街道甘河村地下水水源地、石井街道石东村地下水水源地、玉蝉街道水亭村地下水水源地、渭丰街道渭北村地下水水源地，共9个集中式饮用水水源地。本项目共设置界桩68个、界标17块、宣传牌19块、交通警示牌53块；配备水源地水源保护区保护日常管理所需的设备、仪器；配备应急物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一、采购内容</w:t>
            </w:r>
          </w:p>
          <w:p>
            <w:pPr>
              <w:pStyle w:val="null3"/>
              <w:jc w:val="both"/>
            </w:pPr>
            <w:r>
              <w:rPr>
                <w:rFonts w:ascii="仿宋_GB2312" w:hAnsi="仿宋_GB2312" w:cs="仿宋_GB2312" w:eastAsia="仿宋_GB2312"/>
                <w:sz w:val="21"/>
                <w:b/>
              </w:rPr>
              <w:t>（一）项目基本情况</w:t>
            </w:r>
          </w:p>
          <w:p>
            <w:pPr>
              <w:pStyle w:val="null3"/>
            </w:pPr>
            <w:r>
              <w:rPr>
                <w:rFonts w:ascii="仿宋_GB2312" w:hAnsi="仿宋_GB2312" w:cs="仿宋_GB2312" w:eastAsia="仿宋_GB2312"/>
                <w:sz w:val="21"/>
                <w:b/>
              </w:rPr>
              <w:t>项目名称：西安市鄠邑区乡镇级集中式饮用水水源保护区规范化建设项目</w:t>
            </w:r>
          </w:p>
          <w:p>
            <w:pPr>
              <w:pStyle w:val="null3"/>
              <w:spacing w:before="90"/>
              <w:jc w:val="both"/>
            </w:pPr>
            <w:r>
              <w:rPr>
                <w:rFonts w:ascii="仿宋_GB2312" w:hAnsi="仿宋_GB2312" w:cs="仿宋_GB2312" w:eastAsia="仿宋_GB2312"/>
                <w:sz w:val="21"/>
                <w:b/>
              </w:rPr>
              <w:t>项目概述：</w:t>
            </w:r>
            <w:r>
              <w:rPr>
                <w:rFonts w:ascii="仿宋_GB2312" w:hAnsi="仿宋_GB2312" w:cs="仿宋_GB2312" w:eastAsia="仿宋_GB2312"/>
                <w:sz w:val="20"/>
              </w:rPr>
              <w:t>根据鄠邑区</w:t>
            </w:r>
            <w:r>
              <w:rPr>
                <w:rFonts w:ascii="仿宋_GB2312" w:hAnsi="仿宋_GB2312" w:cs="仿宋_GB2312" w:eastAsia="仿宋_GB2312"/>
                <w:sz w:val="20"/>
              </w:rPr>
              <w:t>9个水源保护区现状调查情况，目前存在规范化建设差距大、监控及应急能力薄弱等众多问题。本次主要针对规范化建设、监控能力建设和应急防护工程开展方案设计，以满足“一级保护区全封闭管理，饮用水水源地安全保障体系建立”的水源地规范化建设首要需要，从而确保居民饮水安全。</w:t>
            </w:r>
          </w:p>
          <w:p>
            <w:pPr>
              <w:pStyle w:val="null3"/>
              <w:jc w:val="both"/>
            </w:pPr>
            <w:r>
              <w:rPr>
                <w:rFonts w:ascii="仿宋_GB2312" w:hAnsi="仿宋_GB2312" w:cs="仿宋_GB2312" w:eastAsia="仿宋_GB2312"/>
              </w:rPr>
              <w:t>本次</w:t>
            </w:r>
            <w:r>
              <w:rPr>
                <w:rFonts w:ascii="仿宋_GB2312" w:hAnsi="仿宋_GB2312" w:cs="仿宋_GB2312" w:eastAsia="仿宋_GB2312"/>
              </w:rPr>
              <w:t>鄠</w:t>
            </w:r>
            <w:r>
              <w:rPr>
                <w:rFonts w:ascii="仿宋_GB2312" w:hAnsi="仿宋_GB2312" w:cs="仿宋_GB2312" w:eastAsia="仿宋_GB2312"/>
              </w:rPr>
              <w:t>邑区集中式饮用水水源区规范化建设项目包括五竹街道侯家庙村水源地、涝店街道谭家村水源地、涝店街道涝下村地下水水源地、祖庵街道北寺村水源地、余下街道余下村水源地、甘河街道甘河村地下水水源地、石井街道石东村地下水水源地、玉蝉街道水亭村地下水水源地、渭丰街道渭北村地下水水源地，共</w:t>
            </w:r>
            <w:r>
              <w:rPr>
                <w:rFonts w:ascii="仿宋_GB2312" w:hAnsi="仿宋_GB2312" w:cs="仿宋_GB2312" w:eastAsia="仿宋_GB2312"/>
              </w:rPr>
              <w:t>9个集中式饮用水水源地。</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技术参数</w:t>
            </w:r>
          </w:p>
          <w:p>
            <w:pPr>
              <w:pStyle w:val="null3"/>
              <w:jc w:val="both"/>
            </w:pPr>
            <w:r>
              <w:rPr>
                <w:rFonts w:ascii="仿宋_GB2312" w:hAnsi="仿宋_GB2312" w:cs="仿宋_GB2312" w:eastAsia="仿宋_GB2312"/>
              </w:rPr>
              <w:t>本项目共设置界桩</w:t>
            </w:r>
            <w:r>
              <w:rPr>
                <w:rFonts w:ascii="仿宋_GB2312" w:hAnsi="仿宋_GB2312" w:cs="仿宋_GB2312" w:eastAsia="仿宋_GB2312"/>
              </w:rPr>
              <w:t>68个、界标17块、宣传牌19块、交通警示牌53块；配备水源地水源保护区保护日常管理所需的设备、仪器；配备应急物资。</w:t>
            </w:r>
          </w:p>
          <w:p>
            <w:pPr>
              <w:pStyle w:val="null3"/>
              <w:jc w:val="both"/>
            </w:pPr>
            <w:r>
              <w:rPr>
                <w:rFonts w:ascii="仿宋_GB2312" w:hAnsi="仿宋_GB2312" w:cs="仿宋_GB2312" w:eastAsia="仿宋_GB2312"/>
              </w:rPr>
              <w:t>按照《饮用水水源保护区标志技术要求》（</w:t>
            </w:r>
            <w:r>
              <w:rPr>
                <w:rFonts w:ascii="仿宋_GB2312" w:hAnsi="仿宋_GB2312" w:cs="仿宋_GB2312" w:eastAsia="仿宋_GB2312"/>
              </w:rPr>
              <w:t>HJ/T433-2008）的相关要求，设置界桩、界标、交通警示牌和宣传牌等标志，且状态完好；保护区内道路警示标志的设置应符合《道路交通标志与标线》（GB5768-2009）要求；在一级保护区设置隔离防护设施，实现封闭管理。</w:t>
            </w:r>
          </w:p>
          <w:p>
            <w:pPr>
              <w:pStyle w:val="null3"/>
              <w:jc w:val="both"/>
            </w:pPr>
            <w:r>
              <w:rPr>
                <w:rFonts w:ascii="仿宋_GB2312" w:hAnsi="仿宋_GB2312" w:cs="仿宋_GB2312" w:eastAsia="仿宋_GB2312"/>
              </w:rPr>
              <w:t>1、标志设置</w:t>
            </w:r>
          </w:p>
          <w:p>
            <w:pPr>
              <w:pStyle w:val="null3"/>
              <w:jc w:val="both"/>
            </w:pPr>
            <w:r>
              <w:rPr>
                <w:rFonts w:ascii="仿宋_GB2312" w:hAnsi="仿宋_GB2312" w:cs="仿宋_GB2312" w:eastAsia="仿宋_GB2312"/>
              </w:rPr>
              <w:t>1.1标志内容</w:t>
            </w:r>
          </w:p>
          <w:p>
            <w:pPr>
              <w:pStyle w:val="null3"/>
              <w:jc w:val="both"/>
            </w:pPr>
            <w:r>
              <w:rPr>
                <w:rFonts w:ascii="仿宋_GB2312" w:hAnsi="仿宋_GB2312" w:cs="仿宋_GB2312" w:eastAsia="仿宋_GB2312"/>
              </w:rPr>
              <w:t>根据《饮用水水源保护区划分技术规范》（</w:t>
            </w:r>
            <w:r>
              <w:rPr>
                <w:rFonts w:ascii="仿宋_GB2312" w:hAnsi="仿宋_GB2312" w:cs="仿宋_GB2312" w:eastAsia="仿宋_GB2312"/>
              </w:rPr>
              <w:t>HJ338-2018）的要求，在饮用水水源保护区需设置保护区标志。饮用水水源保护区标志包括饮用水水源保护区界桩、界标、交通警示牌和宣传牌。</w:t>
            </w:r>
          </w:p>
          <w:p>
            <w:pPr>
              <w:pStyle w:val="null3"/>
              <w:jc w:val="both"/>
            </w:pPr>
            <w:r>
              <w:rPr>
                <w:rFonts w:ascii="仿宋_GB2312" w:hAnsi="仿宋_GB2312" w:cs="仿宋_GB2312" w:eastAsia="仿宋_GB2312"/>
              </w:rPr>
              <w:t>（</w:t>
            </w:r>
            <w:r>
              <w:rPr>
                <w:rFonts w:ascii="仿宋_GB2312" w:hAnsi="仿宋_GB2312" w:cs="仿宋_GB2312" w:eastAsia="仿宋_GB2312"/>
              </w:rPr>
              <w:t>1）界桩内容</w:t>
            </w:r>
          </w:p>
          <w:p>
            <w:pPr>
              <w:pStyle w:val="null3"/>
              <w:jc w:val="both"/>
            </w:pPr>
            <w:r>
              <w:rPr>
                <w:rFonts w:ascii="仿宋_GB2312" w:hAnsi="仿宋_GB2312" w:cs="仿宋_GB2312" w:eastAsia="仿宋_GB2312"/>
              </w:rPr>
              <w:t>布设界桩是以一、二级保护区陆域范围边界的基本走向为原则：根据实际地形和周边环境确定埋设位置，界桩为方柱形，混凝土材质，界桩密度宜为</w:t>
            </w:r>
            <w:r>
              <w:rPr>
                <w:rFonts w:ascii="仿宋_GB2312" w:hAnsi="仿宋_GB2312" w:cs="仿宋_GB2312" w:eastAsia="仿宋_GB2312"/>
              </w:rPr>
              <w:t>100m-200m，相邻两界之间应相互通视。在无生产、生活人类活动的陡崖、荒山、森林等河段可根据实际情况加大间距。</w:t>
            </w:r>
          </w:p>
          <w:p>
            <w:pPr>
              <w:pStyle w:val="null3"/>
              <w:jc w:val="both"/>
            </w:pPr>
            <w:r>
              <w:rPr>
                <w:rFonts w:ascii="仿宋_GB2312" w:hAnsi="仿宋_GB2312" w:cs="仿宋_GB2312" w:eastAsia="仿宋_GB2312"/>
              </w:rPr>
              <w:t>界桩规格为</w:t>
            </w:r>
            <w:r>
              <w:rPr>
                <w:rFonts w:ascii="仿宋_GB2312" w:hAnsi="仿宋_GB2312" w:cs="仿宋_GB2312" w:eastAsia="仿宋_GB2312"/>
              </w:rPr>
              <w:t>1200mm×180mm×180m，地面以下埋设高度一般不低于600mm。具体可根据实际情况进行调整。桩顶及桩顶下连接30mm喷涂红色反光漆；地面以上其余体外喷白色水溶性仿生漆。</w:t>
            </w:r>
          </w:p>
          <w:p>
            <w:pPr>
              <w:pStyle w:val="null3"/>
              <w:jc w:val="both"/>
            </w:pPr>
            <w:r>
              <w:rPr>
                <w:rFonts w:ascii="仿宋_GB2312" w:hAnsi="仿宋_GB2312" w:cs="仿宋_GB2312" w:eastAsia="仿宋_GB2312"/>
              </w:rPr>
              <w:t>界桩分为</w:t>
            </w:r>
            <w:r>
              <w:rPr>
                <w:rFonts w:ascii="仿宋_GB2312" w:hAnsi="仿宋_GB2312" w:cs="仿宋_GB2312" w:eastAsia="仿宋_GB2312"/>
              </w:rPr>
              <w:t>A、B、C、D4个侧面，从顶部垂直地面方向顺时针排列。A面为正面，朝向保护区范围外；C面为背面，朝向保护区范围内。</w:t>
            </w:r>
          </w:p>
          <w:p>
            <w:pPr>
              <w:pStyle w:val="null3"/>
              <w:jc w:val="both"/>
            </w:pPr>
            <w:r>
              <w:rPr>
                <w:rFonts w:ascii="仿宋_GB2312" w:hAnsi="仿宋_GB2312" w:cs="仿宋_GB2312" w:eastAsia="仿宋_GB2312"/>
              </w:rPr>
              <w:t>界桩</w:t>
            </w:r>
            <w:r>
              <w:rPr>
                <w:rFonts w:ascii="仿宋_GB2312" w:hAnsi="仿宋_GB2312" w:cs="仿宋_GB2312" w:eastAsia="仿宋_GB2312"/>
              </w:rPr>
              <w:t>A面（正面）上方为饮用水水源保护区图形标，下方用文字标出保护区对应级别“x级保护区”。</w:t>
            </w:r>
          </w:p>
          <w:p>
            <w:pPr>
              <w:pStyle w:val="null3"/>
              <w:jc w:val="both"/>
            </w:pPr>
            <w:r>
              <w:rPr>
                <w:rFonts w:ascii="仿宋_GB2312" w:hAnsi="仿宋_GB2312" w:cs="仿宋_GB2312" w:eastAsia="仿宋_GB2312"/>
              </w:rPr>
              <w:t>界桩</w:t>
            </w:r>
            <w:r>
              <w:rPr>
                <w:rFonts w:ascii="仿宋_GB2312" w:hAnsi="仿宋_GB2312" w:cs="仿宋_GB2312" w:eastAsia="仿宋_GB2312"/>
              </w:rPr>
              <w:t>B面（左侧面）中部居中用文字标注宣传警示语“饮用水源 共护共享”，近地面处标注监督举报电话，内容为电话符号和“12345政府服务热线”。</w:t>
            </w:r>
          </w:p>
          <w:p>
            <w:pPr>
              <w:pStyle w:val="null3"/>
              <w:jc w:val="both"/>
            </w:pPr>
            <w:r>
              <w:rPr>
                <w:rFonts w:ascii="仿宋_GB2312" w:hAnsi="仿宋_GB2312" w:cs="仿宋_GB2312" w:eastAsia="仿宋_GB2312"/>
              </w:rPr>
              <w:t>界桩</w:t>
            </w:r>
            <w:r>
              <w:rPr>
                <w:rFonts w:ascii="仿宋_GB2312" w:hAnsi="仿宋_GB2312" w:cs="仿宋_GB2312" w:eastAsia="仿宋_GB2312"/>
              </w:rPr>
              <w:t>C面（背面）上方为饮用水水源保护区图形标，下方用文字标出“界桩”，近地面处标出界桩编号“xxxx”。</w:t>
            </w:r>
          </w:p>
          <w:p>
            <w:pPr>
              <w:pStyle w:val="null3"/>
              <w:jc w:val="both"/>
            </w:pPr>
            <w:r>
              <w:rPr>
                <w:rFonts w:ascii="仿宋_GB2312" w:hAnsi="仿宋_GB2312" w:cs="仿宋_GB2312" w:eastAsia="仿宋_GB2312"/>
              </w:rPr>
              <w:t>界桩</w:t>
            </w:r>
            <w:r>
              <w:rPr>
                <w:rFonts w:ascii="仿宋_GB2312" w:hAnsi="仿宋_GB2312" w:cs="仿宋_GB2312" w:eastAsia="仿宋_GB2312"/>
              </w:rPr>
              <w:t>D面（右侧面）桩体中部居中用文字标出警示语“依法设立 破坏追责”，近地面处标注监督举报电话，内容为电话符号和“12345政府服务热线”。</w:t>
            </w:r>
          </w:p>
          <w:p>
            <w:pPr>
              <w:pStyle w:val="null3"/>
              <w:jc w:val="both"/>
            </w:pPr>
            <w:r>
              <w:rPr>
                <w:rFonts w:ascii="仿宋_GB2312" w:hAnsi="仿宋_GB2312" w:cs="仿宋_GB2312" w:eastAsia="仿宋_GB2312"/>
              </w:rPr>
              <w:t>界桩示意图如图</w:t>
            </w:r>
            <w:r>
              <w:rPr>
                <w:rFonts w:ascii="仿宋_GB2312" w:hAnsi="仿宋_GB2312" w:cs="仿宋_GB2312" w:eastAsia="仿宋_GB2312"/>
              </w:rPr>
              <w:t>4.3-1所示。</w:t>
            </w:r>
          </w:p>
          <w:p>
            <w:pPr>
              <w:pStyle w:val="null3"/>
              <w:jc w:val="both"/>
            </w:pPr>
            <w:r>
              <w:drawing>
                <wp:inline distT="0" distR="0" distB="0" distL="0">
                  <wp:extent cx="1621155" cy="87523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875236"/>
                          </a:xfrm>
                          <a:prstGeom prst="rect">
                            <a:avLst/>
                          </a:prstGeom>
                        </pic:spPr>
                      </pic:pic>
                    </a:graphicData>
                  </a:graphic>
                </wp:inline>
              </w:drawing>
            </w:r>
          </w:p>
          <w:p>
            <w:pPr>
              <w:pStyle w:val="null3"/>
              <w:ind w:right="-105"/>
              <w:jc w:val="center"/>
            </w:pPr>
            <w:r>
              <w:rPr>
                <w:rFonts w:ascii="仿宋_GB2312" w:hAnsi="仿宋_GB2312" w:cs="仿宋_GB2312" w:eastAsia="仿宋_GB2312"/>
              </w:rPr>
              <w:t xml:space="preserve"> </w:t>
            </w:r>
          </w:p>
          <w:p>
            <w:pPr>
              <w:pStyle w:val="null3"/>
              <w:ind w:right="-105"/>
              <w:jc w:val="center"/>
            </w:pPr>
            <w:r>
              <w:rPr>
                <w:rFonts w:ascii="仿宋_GB2312" w:hAnsi="仿宋_GB2312" w:cs="仿宋_GB2312" w:eastAsia="仿宋_GB2312"/>
                <w:sz w:val="20"/>
                <w:b/>
              </w:rPr>
              <w:t>图</w:t>
            </w:r>
            <w:r>
              <w:rPr>
                <w:rFonts w:ascii="仿宋_GB2312" w:hAnsi="仿宋_GB2312" w:cs="仿宋_GB2312" w:eastAsia="仿宋_GB2312"/>
                <w:sz w:val="20"/>
                <w:b/>
              </w:rPr>
              <w:t>4.3-1   饮用水水源保护区界桩示意图</w:t>
            </w:r>
          </w:p>
          <w:p>
            <w:pPr>
              <w:pStyle w:val="null3"/>
              <w:jc w:val="both"/>
            </w:pPr>
            <w:r>
              <w:rPr>
                <w:rFonts w:ascii="仿宋_GB2312" w:hAnsi="仿宋_GB2312" w:cs="仿宋_GB2312" w:eastAsia="仿宋_GB2312"/>
              </w:rPr>
              <w:t>（</w:t>
            </w:r>
            <w:r>
              <w:rPr>
                <w:rFonts w:ascii="仿宋_GB2312" w:hAnsi="仿宋_GB2312" w:cs="仿宋_GB2312" w:eastAsia="仿宋_GB2312"/>
              </w:rPr>
              <w:t>2）界标内容</w:t>
            </w:r>
          </w:p>
          <w:p>
            <w:pPr>
              <w:pStyle w:val="null3"/>
              <w:jc w:val="both"/>
            </w:pPr>
            <w:r>
              <w:rPr>
                <w:rFonts w:ascii="仿宋_GB2312" w:hAnsi="仿宋_GB2312" w:cs="仿宋_GB2312" w:eastAsia="仿宋_GB2312"/>
              </w:rPr>
              <w:t>界标正面的上方为饮用水水源保护区图形标，中下方书写饮用水水源一级保护区名称，如</w:t>
            </w:r>
            <w:r>
              <w:rPr>
                <w:rFonts w:ascii="仿宋_GB2312" w:hAnsi="仿宋_GB2312" w:cs="仿宋_GB2312" w:eastAsia="仿宋_GB2312"/>
              </w:rPr>
              <w:t>“XX饮用水水源一级保护区”、“XX饮用水水源二级保护区”等，下方为“监督管理电话：XXXXXXXX”等监督管理方面的信息。</w:t>
            </w:r>
          </w:p>
          <w:p>
            <w:pPr>
              <w:pStyle w:val="null3"/>
              <w:jc w:val="both"/>
            </w:pPr>
            <w:r>
              <w:rPr>
                <w:rFonts w:ascii="仿宋_GB2312" w:hAnsi="仿宋_GB2312" w:cs="仿宋_GB2312" w:eastAsia="仿宋_GB2312"/>
              </w:rPr>
              <w:t>界标背面的上方用清晰、易懂的图形或文字说明根据《饮用水水源保护区划分技术规范》（</w:t>
            </w:r>
            <w:r>
              <w:rPr>
                <w:rFonts w:ascii="仿宋_GB2312" w:hAnsi="仿宋_GB2312" w:cs="仿宋_GB2312" w:eastAsia="仿宋_GB2312"/>
              </w:rPr>
              <w:t>H338-2018）划定的饮用水水源保护区范围，以标明保护区准确地理坐标和范围参数等为宜。中下方书写饮用水水源保护区具体的管理要求，可引用《中华人民共和国水污染防治法》以及其它有关法律法规中关于饮用水水源保护区的条款和内容。最下方靠右处书写“XX人民政府XX年设立”字样。</w:t>
            </w:r>
          </w:p>
          <w:p>
            <w:pPr>
              <w:pStyle w:val="null3"/>
              <w:jc w:val="both"/>
            </w:pPr>
            <w:r>
              <w:rPr>
                <w:rFonts w:ascii="仿宋_GB2312" w:hAnsi="仿宋_GB2312" w:cs="仿宋_GB2312" w:eastAsia="仿宋_GB2312"/>
              </w:rPr>
              <w:t>界标正面上方的饮用水水源保护区图形标及尺寸如图</w:t>
            </w:r>
            <w:r>
              <w:rPr>
                <w:rFonts w:ascii="仿宋_GB2312" w:hAnsi="仿宋_GB2312" w:cs="仿宋_GB2312" w:eastAsia="仿宋_GB2312"/>
              </w:rPr>
              <w:t>4.3-2、4.3-3所示。</w:t>
            </w:r>
          </w:p>
          <w:p>
            <w:pPr>
              <w:pStyle w:val="null3"/>
              <w:jc w:val="both"/>
            </w:pPr>
            <w:r>
              <w:drawing>
                <wp:inline distT="0" distR="0" distB="0" distL="0">
                  <wp:extent cx="1621155" cy="161491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614919"/>
                          </a:xfrm>
                          <a:prstGeom prst="rect">
                            <a:avLst/>
                          </a:prstGeom>
                        </pic:spPr>
                      </pic:pic>
                    </a:graphicData>
                  </a:graphic>
                </wp:inline>
              </w:drawing>
            </w:r>
          </w:p>
          <w:p>
            <w:pPr>
              <w:pStyle w:val="null3"/>
              <w:jc w:val="both"/>
            </w:pPr>
            <w:r>
              <w:rPr>
                <w:rFonts w:ascii="仿宋_GB2312" w:hAnsi="仿宋_GB2312" w:cs="仿宋_GB2312" w:eastAsia="仿宋_GB2312"/>
                <w:sz w:val="20"/>
                <w:b/>
              </w:rPr>
              <w:t>图</w:t>
            </w:r>
            <w:r>
              <w:rPr>
                <w:rFonts w:ascii="仿宋_GB2312" w:hAnsi="仿宋_GB2312" w:cs="仿宋_GB2312" w:eastAsia="仿宋_GB2312"/>
                <w:sz w:val="20"/>
                <w:b/>
              </w:rPr>
              <w:t>4.3-2    饮用水水源保护区图形标志</w:t>
            </w:r>
          </w:p>
          <w:p>
            <w:pPr>
              <w:pStyle w:val="null3"/>
              <w:jc w:val="both"/>
            </w:pPr>
            <w:r>
              <w:drawing>
                <wp:inline distT="0" distR="0" distB="0" distL="0">
                  <wp:extent cx="1621155" cy="1029584"/>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029584"/>
                          </a:xfrm>
                          <a:prstGeom prst="rect">
                            <a:avLst/>
                          </a:prstGeom>
                        </pic:spPr>
                      </pic:pic>
                    </a:graphicData>
                  </a:graphic>
                </wp:inline>
              </w:drawing>
            </w:r>
          </w:p>
          <w:p>
            <w:pPr>
              <w:pStyle w:val="null3"/>
              <w:ind w:right="-105"/>
              <w:jc w:val="center"/>
            </w:pPr>
            <w:r>
              <w:rPr>
                <w:rFonts w:ascii="仿宋_GB2312" w:hAnsi="仿宋_GB2312" w:cs="仿宋_GB2312" w:eastAsia="仿宋_GB2312"/>
              </w:rPr>
              <w:t xml:space="preserve"> </w:t>
            </w:r>
          </w:p>
          <w:p>
            <w:pPr>
              <w:pStyle w:val="null3"/>
              <w:ind w:right="-105" w:firstLine="14"/>
              <w:jc w:val="center"/>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图</w:t>
            </w:r>
            <w:r>
              <w:rPr>
                <w:rFonts w:ascii="仿宋_GB2312" w:hAnsi="仿宋_GB2312" w:cs="仿宋_GB2312" w:eastAsia="仿宋_GB2312"/>
              </w:rPr>
              <w:t>4.3-3   饮用水水源保护区界标正面（左）、背面（右）示意。</w:t>
            </w:r>
          </w:p>
          <w:p>
            <w:pPr>
              <w:pStyle w:val="null3"/>
              <w:jc w:val="both"/>
            </w:pPr>
            <w:r>
              <w:rPr>
                <w:rFonts w:ascii="仿宋_GB2312" w:hAnsi="仿宋_GB2312" w:cs="仿宋_GB2312" w:eastAsia="仿宋_GB2312"/>
              </w:rPr>
              <w:t>（</w:t>
            </w:r>
            <w:r>
              <w:rPr>
                <w:rFonts w:ascii="仿宋_GB2312" w:hAnsi="仿宋_GB2312" w:cs="仿宋_GB2312" w:eastAsia="仿宋_GB2312"/>
              </w:rPr>
              <w:t>3）交通警示牌内容</w:t>
            </w:r>
          </w:p>
          <w:p>
            <w:pPr>
              <w:pStyle w:val="null3"/>
              <w:jc w:val="both"/>
            </w:pPr>
            <w:r>
              <w:rPr>
                <w:rFonts w:ascii="仿宋_GB2312" w:hAnsi="仿宋_GB2312" w:cs="仿宋_GB2312" w:eastAsia="仿宋_GB2312"/>
              </w:rPr>
              <w:t>在驶入、驶离饮用水水源保护区的路侧，可设立驶入、驶离告示牌，本项目涉及的道路均为一般公路，具体如图</w:t>
            </w:r>
            <w:r>
              <w:rPr>
                <w:rFonts w:ascii="仿宋_GB2312" w:hAnsi="仿宋_GB2312" w:cs="仿宋_GB2312" w:eastAsia="仿宋_GB2312"/>
              </w:rPr>
              <w:t>4.3-4、图4.3-5。</w:t>
            </w:r>
          </w:p>
          <w:p>
            <w:pPr>
              <w:pStyle w:val="null3"/>
              <w:ind w:right="-105"/>
              <w:jc w:val="center"/>
            </w:pPr>
            <w:r>
              <w:drawing>
                <wp:inline distT="0" distR="0" distB="0" distL="0">
                  <wp:extent cx="1621155" cy="671772"/>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671772"/>
                          </a:xfrm>
                          <a:prstGeom prst="rect">
                            <a:avLst/>
                          </a:prstGeom>
                        </pic:spPr>
                      </pic:pic>
                    </a:graphicData>
                  </a:graphic>
                </wp:inline>
              </w:drawing>
            </w:r>
          </w:p>
          <w:p>
            <w:pPr>
              <w:pStyle w:val="null3"/>
              <w:jc w:val="both"/>
            </w:pPr>
            <w:r>
              <w:rPr>
                <w:rFonts w:ascii="仿宋_GB2312" w:hAnsi="仿宋_GB2312" w:cs="仿宋_GB2312" w:eastAsia="仿宋_GB2312"/>
              </w:rPr>
              <w:t>图</w:t>
            </w:r>
            <w:r>
              <w:rPr>
                <w:rFonts w:ascii="仿宋_GB2312" w:hAnsi="仿宋_GB2312" w:cs="仿宋_GB2312" w:eastAsia="仿宋_GB2312"/>
              </w:rPr>
              <w:t>4.3-4    饮用水水源保护区道路警示牌示意图（一般道路）</w:t>
            </w:r>
          </w:p>
          <w:p>
            <w:pPr>
              <w:pStyle w:val="null3"/>
              <w:ind w:right="-105"/>
              <w:jc w:val="center"/>
            </w:pPr>
            <w:r>
              <w:drawing>
                <wp:inline distT="0" distR="0" distB="0" distL="0">
                  <wp:extent cx="1621155" cy="658134"/>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658134"/>
                          </a:xfrm>
                          <a:prstGeom prst="rect">
                            <a:avLst/>
                          </a:prstGeom>
                        </pic:spPr>
                      </pic:pic>
                    </a:graphicData>
                  </a:graphic>
                </wp:inline>
              </w:drawing>
            </w:r>
          </w:p>
          <w:p>
            <w:pPr>
              <w:pStyle w:val="null3"/>
              <w:jc w:val="both"/>
            </w:pPr>
            <w:r>
              <w:rPr>
                <w:rFonts w:ascii="仿宋_GB2312" w:hAnsi="仿宋_GB2312" w:cs="仿宋_GB2312" w:eastAsia="仿宋_GB2312"/>
              </w:rPr>
              <w:t>图</w:t>
            </w:r>
            <w:r>
              <w:rPr>
                <w:rFonts w:ascii="仿宋_GB2312" w:hAnsi="仿宋_GB2312" w:cs="仿宋_GB2312" w:eastAsia="仿宋_GB2312"/>
              </w:rPr>
              <w:t>4.3-5   驶离饮用水水源保护区道路告示牌示意图（一般道路）</w:t>
            </w:r>
          </w:p>
          <w:p>
            <w:pPr>
              <w:pStyle w:val="null3"/>
              <w:jc w:val="both"/>
            </w:pPr>
            <w:r>
              <w:rPr>
                <w:rFonts w:ascii="仿宋_GB2312" w:hAnsi="仿宋_GB2312" w:cs="仿宋_GB2312" w:eastAsia="仿宋_GB2312"/>
              </w:rPr>
              <w:t>（</w:t>
            </w:r>
            <w:r>
              <w:rPr>
                <w:rFonts w:ascii="仿宋_GB2312" w:hAnsi="仿宋_GB2312" w:cs="仿宋_GB2312" w:eastAsia="仿宋_GB2312"/>
              </w:rPr>
              <w:t>4）宣传牌内容</w:t>
            </w:r>
          </w:p>
          <w:p>
            <w:pPr>
              <w:pStyle w:val="null3"/>
              <w:jc w:val="both"/>
            </w:pPr>
            <w:r>
              <w:rPr>
                <w:rFonts w:ascii="仿宋_GB2312" w:hAnsi="仿宋_GB2312" w:cs="仿宋_GB2312" w:eastAsia="仿宋_GB2312"/>
              </w:rPr>
              <w:t>可根据实际需求设计宣传牌上的图形和文字，如介绍当地饮用水水源保护区的地形地貌、划分情况、保护现状、管理要求等。饮用水水源保护区宣传牌宜在明显位置采用饮用水水源保护区图形标。</w:t>
            </w:r>
          </w:p>
          <w:p>
            <w:pPr>
              <w:pStyle w:val="null3"/>
              <w:ind w:right="-105"/>
              <w:jc w:val="center"/>
            </w:pPr>
            <w:r>
              <w:drawing>
                <wp:inline distT="0" distR="0" distB="0" distL="0">
                  <wp:extent cx="1621155" cy="1518646"/>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1518646"/>
                          </a:xfrm>
                          <a:prstGeom prst="rect">
                            <a:avLst/>
                          </a:prstGeom>
                        </pic:spPr>
                      </pic:pic>
                    </a:graphicData>
                  </a:graphic>
                </wp:inline>
              </w:drawing>
            </w:r>
          </w:p>
          <w:p>
            <w:pPr>
              <w:pStyle w:val="null3"/>
              <w:jc w:val="both"/>
            </w:pPr>
            <w:r>
              <w:rPr>
                <w:rFonts w:ascii="仿宋_GB2312" w:hAnsi="仿宋_GB2312" w:cs="仿宋_GB2312" w:eastAsia="仿宋_GB2312"/>
              </w:rPr>
              <w:t>图</w:t>
            </w:r>
            <w:r>
              <w:rPr>
                <w:rFonts w:ascii="仿宋_GB2312" w:hAnsi="仿宋_GB2312" w:cs="仿宋_GB2312" w:eastAsia="仿宋_GB2312"/>
              </w:rPr>
              <w:t>4.3-8   饮用水水源保护区宣传牌示意图</w:t>
            </w:r>
          </w:p>
          <w:p>
            <w:pPr>
              <w:pStyle w:val="null3"/>
              <w:jc w:val="both"/>
            </w:pPr>
            <w:r>
              <w:rPr>
                <w:rFonts w:ascii="仿宋_GB2312" w:hAnsi="仿宋_GB2312" w:cs="仿宋_GB2312" w:eastAsia="仿宋_GB2312"/>
              </w:rPr>
              <w:t>2、标志位置</w:t>
            </w:r>
          </w:p>
          <w:p>
            <w:pPr>
              <w:pStyle w:val="null3"/>
              <w:jc w:val="both"/>
            </w:pPr>
            <w:r>
              <w:rPr>
                <w:rFonts w:ascii="仿宋_GB2312" w:hAnsi="仿宋_GB2312" w:cs="仿宋_GB2312" w:eastAsia="仿宋_GB2312"/>
              </w:rPr>
              <w:t>鄠邑区</w:t>
            </w:r>
            <w:r>
              <w:rPr>
                <w:rFonts w:ascii="仿宋_GB2312" w:hAnsi="仿宋_GB2312" w:cs="仿宋_GB2312" w:eastAsia="仿宋_GB2312"/>
              </w:rPr>
              <w:t>9个乡镇级饮用水水源地均为地下水水源保护区范围小，但紧邻村庄人员聚集区，人畜活动可随意进入保护区，需设置明显可判断的边界，起到明示、警示作用，也为管理工作提供空间边界参考，方便依法、依规管理，因此，本次标志位置设置采用网格法+实物参考+一级保护区封闭管理的原则进行设计。具体情况如下：</w:t>
            </w:r>
          </w:p>
          <w:p>
            <w:pPr>
              <w:pStyle w:val="null3"/>
              <w:jc w:val="both"/>
            </w:pPr>
            <w:r>
              <w:rPr>
                <w:rFonts w:ascii="仿宋_GB2312" w:hAnsi="仿宋_GB2312" w:cs="仿宋_GB2312" w:eastAsia="仿宋_GB2312"/>
              </w:rPr>
              <w:t>（</w:t>
            </w:r>
            <w:r>
              <w:rPr>
                <w:rFonts w:ascii="仿宋_GB2312" w:hAnsi="仿宋_GB2312" w:cs="仿宋_GB2312" w:eastAsia="仿宋_GB2312"/>
              </w:rPr>
              <w:t>1）界桩设立位置</w:t>
            </w:r>
          </w:p>
          <w:p>
            <w:pPr>
              <w:pStyle w:val="null3"/>
              <w:jc w:val="both"/>
            </w:pPr>
            <w:r>
              <w:rPr>
                <w:rFonts w:ascii="仿宋_GB2312" w:hAnsi="仿宋_GB2312" w:cs="仿宋_GB2312" w:eastAsia="仿宋_GB2312"/>
              </w:rPr>
              <w:t>饮用水水源保护区界桩的设立位置随保护区域形状不同，在相应形状顶端设置界桩，也可结合水源地护栏围网等隔离防护工程设立桩。</w:t>
            </w:r>
          </w:p>
          <w:p>
            <w:pPr>
              <w:pStyle w:val="null3"/>
              <w:jc w:val="both"/>
            </w:pPr>
            <w:r>
              <w:rPr>
                <w:rFonts w:ascii="仿宋_GB2312" w:hAnsi="仿宋_GB2312" w:cs="仿宋_GB2312" w:eastAsia="仿宋_GB2312"/>
              </w:rPr>
              <w:t>本项目拟在取水井一级保护区、准保护区边界等位置，原则按照每</w:t>
            </w:r>
            <w:r>
              <w:rPr>
                <w:rFonts w:ascii="仿宋_GB2312" w:hAnsi="仿宋_GB2312" w:cs="仿宋_GB2312" w:eastAsia="仿宋_GB2312"/>
              </w:rPr>
              <w:t>100m设置1个界桩，由于准保护区范围基本不超过100m，因此基本按照边保护区陆域界线顶点设置。</w:t>
            </w:r>
          </w:p>
          <w:p>
            <w:pPr>
              <w:pStyle w:val="null3"/>
              <w:jc w:val="both"/>
            </w:pPr>
            <w:r>
              <w:rPr>
                <w:rFonts w:ascii="仿宋_GB2312" w:hAnsi="仿宋_GB2312" w:cs="仿宋_GB2312" w:eastAsia="仿宋_GB2312"/>
              </w:rPr>
              <w:t>（</w:t>
            </w:r>
            <w:r>
              <w:rPr>
                <w:rFonts w:ascii="仿宋_GB2312" w:hAnsi="仿宋_GB2312" w:cs="仿宋_GB2312" w:eastAsia="仿宋_GB2312"/>
              </w:rPr>
              <w:t>2）界标设立位置</w:t>
            </w:r>
          </w:p>
          <w:p>
            <w:pPr>
              <w:pStyle w:val="null3"/>
              <w:jc w:val="both"/>
            </w:pPr>
            <w:r>
              <w:rPr>
                <w:rFonts w:ascii="仿宋_GB2312" w:hAnsi="仿宋_GB2312" w:cs="仿宋_GB2312" w:eastAsia="仿宋_GB2312"/>
              </w:rPr>
              <w:t>饮用水水源保护区界标的设立位置应以保护区划定批复确定的各级保护区界线进行设置，应充分考虑保护区地形、地标、地物的特点</w:t>
            </w:r>
          </w:p>
          <w:p>
            <w:pPr>
              <w:pStyle w:val="null3"/>
              <w:jc w:val="both"/>
            </w:pPr>
            <w:r>
              <w:rPr>
                <w:rFonts w:ascii="仿宋_GB2312" w:hAnsi="仿宋_GB2312" w:cs="仿宋_GB2312" w:eastAsia="仿宋_GB2312"/>
              </w:rPr>
              <w:t>各级保护区界线进行设置，应充分考虑保护区地形、地标、地物的特点。</w:t>
            </w:r>
          </w:p>
          <w:p>
            <w:pPr>
              <w:pStyle w:val="null3"/>
              <w:jc w:val="both"/>
            </w:pPr>
            <w:r>
              <w:rPr>
                <w:rFonts w:ascii="仿宋_GB2312" w:hAnsi="仿宋_GB2312" w:cs="仿宋_GB2312" w:eastAsia="仿宋_GB2312"/>
              </w:rPr>
              <w:t>饮用水水源保护区界标一般设立于保护区陆域界线的顶点处。如果划定的保护区范围为多边形区域时，宜在多边形的各顶点处设立界标，也可结合水源地护栏围网等隔离防护工程设立界标。在划定的陆域范围内，可根据环境管理需要在人群易见、活动处（如交叉路口，绿地休闲区等）设立界标。</w:t>
            </w:r>
          </w:p>
          <w:p>
            <w:pPr>
              <w:pStyle w:val="null3"/>
              <w:jc w:val="both"/>
            </w:pPr>
            <w:r>
              <w:rPr>
                <w:rFonts w:ascii="仿宋_GB2312" w:hAnsi="仿宋_GB2312" w:cs="仿宋_GB2312" w:eastAsia="仿宋_GB2312"/>
              </w:rPr>
              <w:t>本项目拟在取水口一级保护区边界与准保护区边界、准保护区等位置设置。设置原则如下：</w:t>
            </w:r>
          </w:p>
          <w:p>
            <w:pPr>
              <w:pStyle w:val="null3"/>
              <w:jc w:val="both"/>
            </w:pPr>
            <w:r>
              <w:rPr>
                <w:rFonts w:ascii="仿宋_GB2312" w:hAnsi="仿宋_GB2312" w:cs="仿宋_GB2312" w:eastAsia="仿宋_GB2312"/>
              </w:rPr>
              <w:t>①按照200m-1000m距离在各级保护区边界布设界标，一级保护区采用200m间隔，二级保护区采用500m间隔，准保护区采用1000m间隔设置。</w:t>
            </w:r>
          </w:p>
          <w:p>
            <w:pPr>
              <w:pStyle w:val="null3"/>
              <w:jc w:val="both"/>
            </w:pPr>
            <w:r>
              <w:rPr>
                <w:rFonts w:ascii="仿宋_GB2312" w:hAnsi="仿宋_GB2312" w:cs="仿宋_GB2312" w:eastAsia="仿宋_GB2312"/>
              </w:rPr>
              <w:t>②按照界桩与界标结合设置，同时，一级保护区边界闭环设置界标。</w:t>
            </w:r>
          </w:p>
          <w:p>
            <w:pPr>
              <w:pStyle w:val="null3"/>
              <w:jc w:val="both"/>
            </w:pPr>
            <w:r>
              <w:rPr>
                <w:rFonts w:ascii="仿宋_GB2312" w:hAnsi="仿宋_GB2312" w:cs="仿宋_GB2312" w:eastAsia="仿宋_GB2312"/>
              </w:rPr>
              <w:t>③对可进入保护区的任意道路，在与保护区边界交叉点设置界标。</w:t>
            </w:r>
          </w:p>
          <w:p>
            <w:pPr>
              <w:pStyle w:val="null3"/>
              <w:jc w:val="both"/>
            </w:pPr>
            <w:r>
              <w:rPr>
                <w:rFonts w:ascii="仿宋_GB2312" w:hAnsi="仿宋_GB2312" w:cs="仿宋_GB2312" w:eastAsia="仿宋_GB2312"/>
              </w:rPr>
              <w:t>④对人类活动频繁区附近的边界进行加密设置，如耕作区、居住区、休闲区等。</w:t>
            </w:r>
          </w:p>
          <w:p>
            <w:pPr>
              <w:pStyle w:val="null3"/>
              <w:jc w:val="both"/>
            </w:pPr>
            <w:r>
              <w:rPr>
                <w:rFonts w:ascii="仿宋_GB2312" w:hAnsi="仿宋_GB2312" w:cs="仿宋_GB2312" w:eastAsia="仿宋_GB2312"/>
              </w:rPr>
              <w:t>（</w:t>
            </w:r>
            <w:r>
              <w:rPr>
                <w:rFonts w:ascii="仿宋_GB2312" w:hAnsi="仿宋_GB2312" w:cs="仿宋_GB2312" w:eastAsia="仿宋_GB2312"/>
              </w:rPr>
              <w:t>3）交通警示牌的设立位置</w:t>
            </w:r>
          </w:p>
          <w:p>
            <w:pPr>
              <w:pStyle w:val="null3"/>
              <w:jc w:val="both"/>
            </w:pPr>
            <w:r>
              <w:rPr>
                <w:rFonts w:ascii="仿宋_GB2312" w:hAnsi="仿宋_GB2312" w:cs="仿宋_GB2312" w:eastAsia="仿宋_GB2312"/>
              </w:rPr>
              <w:t>饮用水水源保护区交通警示牌设在保护区的道路的进入点及驶出点。饮用水水源保护区道路警示牌设置于一级保护区的道路旁。道路警示牌的具体设立位置应符合</w:t>
            </w:r>
            <w:r>
              <w:rPr>
                <w:rFonts w:ascii="仿宋_GB2312" w:hAnsi="仿宋_GB2312" w:cs="仿宋_GB2312" w:eastAsia="仿宋_GB2312"/>
              </w:rPr>
              <w:t>GB5768的相关要求。</w:t>
            </w:r>
          </w:p>
          <w:p>
            <w:pPr>
              <w:pStyle w:val="null3"/>
              <w:jc w:val="both"/>
            </w:pPr>
            <w:r>
              <w:rPr>
                <w:rFonts w:ascii="仿宋_GB2312" w:hAnsi="仿宋_GB2312" w:cs="仿宋_GB2312" w:eastAsia="仿宋_GB2312"/>
              </w:rPr>
              <w:t>本项目拟在取水口一级保护区边界与准保护区边界、准保护区等有道路段设置。水源保护区内涉及交通线路，存在运输危险化学品等情况，交通警示牌需设置明显，加强警示作用。</w:t>
            </w:r>
          </w:p>
          <w:p>
            <w:pPr>
              <w:pStyle w:val="null3"/>
              <w:jc w:val="both"/>
            </w:pPr>
            <w:r>
              <w:rPr>
                <w:rFonts w:ascii="仿宋_GB2312" w:hAnsi="仿宋_GB2312" w:cs="仿宋_GB2312" w:eastAsia="仿宋_GB2312"/>
              </w:rPr>
              <w:t>3、标志构造</w:t>
            </w:r>
          </w:p>
          <w:p>
            <w:pPr>
              <w:pStyle w:val="null3"/>
              <w:jc w:val="both"/>
            </w:pPr>
            <w:r>
              <w:rPr>
                <w:rFonts w:ascii="仿宋_GB2312" w:hAnsi="仿宋_GB2312" w:cs="仿宋_GB2312" w:eastAsia="仿宋_GB2312"/>
              </w:rPr>
              <w:t>（</w:t>
            </w:r>
            <w:r>
              <w:rPr>
                <w:rFonts w:ascii="仿宋_GB2312" w:hAnsi="仿宋_GB2312" w:cs="仿宋_GB2312" w:eastAsia="仿宋_GB2312"/>
              </w:rPr>
              <w:t>1）颜色</w:t>
            </w:r>
          </w:p>
          <w:p>
            <w:pPr>
              <w:pStyle w:val="null3"/>
              <w:jc w:val="both"/>
            </w:pPr>
            <w:r>
              <w:rPr>
                <w:rFonts w:ascii="仿宋_GB2312" w:hAnsi="仿宋_GB2312" w:cs="仿宋_GB2312" w:eastAsia="仿宋_GB2312"/>
              </w:rPr>
              <w:t>饮用水水源保护区图形标的基本色为蓝色，</w:t>
            </w:r>
            <w:r>
              <w:rPr>
                <w:rFonts w:ascii="仿宋_GB2312" w:hAnsi="仿宋_GB2312" w:cs="仿宋_GB2312" w:eastAsia="仿宋_GB2312"/>
              </w:rPr>
              <w:t>“两滴水”为绿色，“饮用水杯”为白色，文字为蓝色。</w:t>
            </w:r>
          </w:p>
          <w:p>
            <w:pPr>
              <w:pStyle w:val="null3"/>
              <w:jc w:val="both"/>
            </w:pPr>
            <w:r>
              <w:rPr>
                <w:rFonts w:ascii="仿宋_GB2312" w:hAnsi="仿宋_GB2312" w:cs="仿宋_GB2312" w:eastAsia="仿宋_GB2312"/>
              </w:rPr>
              <w:t>饮用水水源保护区道路警示牌的颜色一般道路为蓝底、白边，图案背景和文字为白色；高速公路为绿底、白边，图案背景和文字为白色。饮用水水源保护区航道警示牌的颜色为黄底、黑边、白色图案背景，黑色文字；立柱为黄色和黑色相间的斜向条纹。饮用水水源保护区宣传牌颜色由各地方政府根据实际情况确定。</w:t>
            </w:r>
          </w:p>
          <w:p>
            <w:pPr>
              <w:pStyle w:val="null3"/>
              <w:jc w:val="both"/>
            </w:pPr>
            <w:r>
              <w:rPr>
                <w:rFonts w:ascii="仿宋_GB2312" w:hAnsi="仿宋_GB2312" w:cs="仿宋_GB2312" w:eastAsia="仿宋_GB2312"/>
              </w:rPr>
              <w:t>（</w:t>
            </w:r>
            <w:r>
              <w:rPr>
                <w:rFonts w:ascii="仿宋_GB2312" w:hAnsi="仿宋_GB2312" w:cs="仿宋_GB2312" w:eastAsia="仿宋_GB2312"/>
              </w:rPr>
              <w:t>2）尺寸</w:t>
            </w:r>
          </w:p>
          <w:p>
            <w:pPr>
              <w:pStyle w:val="null3"/>
              <w:jc w:val="both"/>
            </w:pPr>
            <w:r>
              <w:rPr>
                <w:rFonts w:ascii="仿宋_GB2312" w:hAnsi="仿宋_GB2312" w:cs="仿宋_GB2312" w:eastAsia="仿宋_GB2312"/>
              </w:rPr>
              <w:t>饮用水水源保护区标志的尺寸见《饮用水水源保护区标志技术要求》（</w:t>
            </w:r>
            <w:r>
              <w:rPr>
                <w:rFonts w:ascii="仿宋_GB2312" w:hAnsi="仿宋_GB2312" w:cs="仿宋_GB2312" w:eastAsia="仿宋_GB2312"/>
              </w:rPr>
              <w:t>HJ/T433-2008）附录B。饮用水水源保护区标志的尺寸可根据实际情况按比例缩放。</w:t>
            </w:r>
          </w:p>
          <w:p>
            <w:pPr>
              <w:pStyle w:val="null3"/>
              <w:jc w:val="both"/>
            </w:pPr>
            <w:r>
              <w:rPr>
                <w:rFonts w:ascii="仿宋_GB2312" w:hAnsi="仿宋_GB2312" w:cs="仿宋_GB2312" w:eastAsia="仿宋_GB2312"/>
              </w:rPr>
              <w:t>（</w:t>
            </w:r>
            <w:r>
              <w:rPr>
                <w:rFonts w:ascii="仿宋_GB2312" w:hAnsi="仿宋_GB2312" w:cs="仿宋_GB2312" w:eastAsia="仿宋_GB2312"/>
              </w:rPr>
              <w:t>3）支持方式</w:t>
            </w:r>
          </w:p>
          <w:p>
            <w:pPr>
              <w:pStyle w:val="null3"/>
              <w:jc w:val="both"/>
            </w:pPr>
            <w:r>
              <w:rPr>
                <w:rFonts w:ascii="仿宋_GB2312" w:hAnsi="仿宋_GB2312" w:cs="仿宋_GB2312" w:eastAsia="仿宋_GB2312"/>
              </w:rPr>
              <w:t>饮用水水源保护区界标宜采用双柱式的支持方式，尺寸可参考</w:t>
            </w:r>
            <w:r>
              <w:rPr>
                <w:rFonts w:ascii="仿宋_GB2312" w:hAnsi="仿宋_GB2312" w:cs="仿宋_GB2312" w:eastAsia="仿宋_GB2312"/>
              </w:rPr>
              <w:t>GB5768。饮用水水源保护区交通警示牌的支持方式形式可多样，但必须符合GB5768 和GB5863的规定。饮用水水源保护区宣传牌的支持方式由地方主管部门根据实际情况确定。标志柱的结构设计可参考GB5768中交通标志柱的结构设计进行。</w:t>
            </w:r>
          </w:p>
          <w:p>
            <w:pPr>
              <w:pStyle w:val="null3"/>
              <w:jc w:val="both"/>
            </w:pPr>
            <w:r>
              <w:rPr>
                <w:rFonts w:ascii="仿宋_GB2312" w:hAnsi="仿宋_GB2312" w:cs="仿宋_GB2312" w:eastAsia="仿宋_GB2312"/>
              </w:rPr>
              <w:t>（</w:t>
            </w:r>
            <w:r>
              <w:rPr>
                <w:rFonts w:ascii="仿宋_GB2312" w:hAnsi="仿宋_GB2312" w:cs="仿宋_GB2312" w:eastAsia="仿宋_GB2312"/>
              </w:rPr>
              <w:t>4）材质</w:t>
            </w:r>
          </w:p>
          <w:p>
            <w:pPr>
              <w:pStyle w:val="null3"/>
              <w:jc w:val="both"/>
            </w:pPr>
            <w:r>
              <w:rPr>
                <w:rFonts w:ascii="仿宋_GB2312" w:hAnsi="仿宋_GB2312" w:cs="仿宋_GB2312" w:eastAsia="仿宋_GB2312"/>
              </w:rPr>
              <w:t>饮用水水源保护区标志应遵循耐久、经济的原则，宜采用铝合金板、合成树脂类板材等材质。饮用水水源保护区界标如有必要，也可采用大理石等材质。标志表面宜采用反光材料。道路警示牌的反光性能按照</w:t>
            </w:r>
            <w:r>
              <w:rPr>
                <w:rFonts w:ascii="仿宋_GB2312" w:hAnsi="仿宋_GB2312" w:cs="仿宋_GB2312" w:eastAsia="仿宋_GB2312"/>
              </w:rPr>
              <w:t>GB5768 执行。</w:t>
            </w:r>
          </w:p>
          <w:p>
            <w:pPr>
              <w:pStyle w:val="null3"/>
              <w:jc w:val="both"/>
            </w:pPr>
            <w:r>
              <w:rPr>
                <w:rFonts w:ascii="仿宋_GB2312" w:hAnsi="仿宋_GB2312" w:cs="仿宋_GB2312" w:eastAsia="仿宋_GB2312"/>
              </w:rPr>
              <w:t>4、标志制作</w:t>
            </w:r>
          </w:p>
          <w:p>
            <w:pPr>
              <w:pStyle w:val="null3"/>
              <w:jc w:val="both"/>
            </w:pPr>
            <w:r>
              <w:rPr>
                <w:rFonts w:ascii="仿宋_GB2312" w:hAnsi="仿宋_GB2312" w:cs="仿宋_GB2312" w:eastAsia="仿宋_GB2312"/>
              </w:rPr>
              <w:t>饮用水水源保护区标志由各级地方人民政府设立，国家环境保护行政主管部门统一监制。标志的加工要求、外观质量及其测试方法可参照</w:t>
            </w:r>
            <w:r>
              <w:rPr>
                <w:rFonts w:ascii="仿宋_GB2312" w:hAnsi="仿宋_GB2312" w:cs="仿宋_GB2312" w:eastAsia="仿宋_GB2312"/>
              </w:rPr>
              <w:t>JT/T279的有关规定执行。具体制作要求如下：</w:t>
            </w:r>
          </w:p>
          <w:p>
            <w:pPr>
              <w:pStyle w:val="null3"/>
              <w:jc w:val="both"/>
            </w:pPr>
            <w:r>
              <w:rPr>
                <w:rFonts w:ascii="仿宋_GB2312" w:hAnsi="仿宋_GB2312" w:cs="仿宋_GB2312" w:eastAsia="仿宋_GB2312"/>
              </w:rPr>
              <w:t>（</w:t>
            </w:r>
            <w:r>
              <w:rPr>
                <w:rFonts w:ascii="仿宋_GB2312" w:hAnsi="仿宋_GB2312" w:cs="仿宋_GB2312" w:eastAsia="仿宋_GB2312"/>
              </w:rPr>
              <w:t>1）界桩</w:t>
            </w:r>
          </w:p>
          <w:p>
            <w:pPr>
              <w:pStyle w:val="null3"/>
              <w:jc w:val="both"/>
            </w:pPr>
            <w:r>
              <w:rPr>
                <w:rFonts w:ascii="仿宋_GB2312" w:hAnsi="仿宋_GB2312" w:cs="仿宋_GB2312" w:eastAsia="仿宋_GB2312"/>
              </w:rPr>
              <w:t>尺寸：</w:t>
            </w:r>
            <w:r>
              <w:rPr>
                <w:rFonts w:ascii="仿宋_GB2312" w:hAnsi="仿宋_GB2312" w:cs="仿宋_GB2312" w:eastAsia="仿宋_GB2312"/>
              </w:rPr>
              <w:t>1200mm×180mm×180m。</w:t>
            </w:r>
          </w:p>
          <w:p>
            <w:pPr>
              <w:pStyle w:val="null3"/>
              <w:jc w:val="both"/>
            </w:pPr>
            <w:r>
              <w:rPr>
                <w:rFonts w:ascii="仿宋_GB2312" w:hAnsi="仿宋_GB2312" w:cs="仿宋_GB2312" w:eastAsia="仿宋_GB2312"/>
              </w:rPr>
              <w:t>颜色：桩顶及桩顶下连接</w:t>
            </w:r>
            <w:r>
              <w:rPr>
                <w:rFonts w:ascii="仿宋_GB2312" w:hAnsi="仿宋_GB2312" w:cs="仿宋_GB2312" w:eastAsia="仿宋_GB2312"/>
              </w:rPr>
              <w:t>30mm喷涂红色反光漆；地面以上其余体外喷白色水溶性仿生漆。</w:t>
            </w:r>
          </w:p>
          <w:p>
            <w:pPr>
              <w:pStyle w:val="null3"/>
              <w:jc w:val="both"/>
            </w:pPr>
            <w:r>
              <w:rPr>
                <w:rFonts w:ascii="仿宋_GB2312" w:hAnsi="仿宋_GB2312" w:cs="仿宋_GB2312" w:eastAsia="仿宋_GB2312"/>
              </w:rPr>
              <w:t>材质：钢筋混凝土。</w:t>
            </w:r>
          </w:p>
          <w:p>
            <w:pPr>
              <w:pStyle w:val="null3"/>
              <w:jc w:val="both"/>
            </w:pPr>
            <w:r>
              <w:rPr>
                <w:rFonts w:ascii="仿宋_GB2312" w:hAnsi="仿宋_GB2312" w:cs="仿宋_GB2312" w:eastAsia="仿宋_GB2312"/>
              </w:rPr>
              <w:t>（</w:t>
            </w:r>
            <w:r>
              <w:rPr>
                <w:rFonts w:ascii="仿宋_GB2312" w:hAnsi="仿宋_GB2312" w:cs="仿宋_GB2312" w:eastAsia="仿宋_GB2312"/>
              </w:rPr>
              <w:t>2）界标</w:t>
            </w:r>
          </w:p>
          <w:p>
            <w:pPr>
              <w:pStyle w:val="null3"/>
              <w:jc w:val="both"/>
            </w:pPr>
            <w:r>
              <w:rPr>
                <w:rFonts w:ascii="仿宋_GB2312" w:hAnsi="仿宋_GB2312" w:cs="仿宋_GB2312" w:eastAsia="仿宋_GB2312"/>
              </w:rPr>
              <w:t>尺寸：</w:t>
            </w:r>
            <w:r>
              <w:rPr>
                <w:rFonts w:ascii="仿宋_GB2312" w:hAnsi="仿宋_GB2312" w:cs="仿宋_GB2312" w:eastAsia="仿宋_GB2312"/>
              </w:rPr>
              <w:t>1600mm×1200mm。</w:t>
            </w:r>
          </w:p>
          <w:p>
            <w:pPr>
              <w:pStyle w:val="null3"/>
              <w:jc w:val="both"/>
            </w:pPr>
            <w:r>
              <w:rPr>
                <w:rFonts w:ascii="仿宋_GB2312" w:hAnsi="仿宋_GB2312" w:cs="仿宋_GB2312" w:eastAsia="仿宋_GB2312"/>
              </w:rPr>
              <w:t>颜色：绿底白边，图案背景和文字为白色。材质：</w:t>
            </w:r>
            <w:r>
              <w:rPr>
                <w:rFonts w:ascii="仿宋_GB2312" w:hAnsi="仿宋_GB2312" w:cs="仿宋_GB2312" w:eastAsia="仿宋_GB2312"/>
              </w:rPr>
              <w:t>3mm厚的铝合金，表层3M反光膜。</w:t>
            </w:r>
          </w:p>
          <w:p>
            <w:pPr>
              <w:pStyle w:val="null3"/>
              <w:jc w:val="both"/>
            </w:pPr>
            <w:r>
              <w:rPr>
                <w:rFonts w:ascii="仿宋_GB2312" w:hAnsi="仿宋_GB2312" w:cs="仿宋_GB2312" w:eastAsia="仿宋_GB2312"/>
              </w:rPr>
              <w:t>双柱式支持：镀锌管，管径</w:t>
            </w:r>
            <w:r>
              <w:rPr>
                <w:rFonts w:ascii="仿宋_GB2312" w:hAnsi="仿宋_GB2312" w:cs="仿宋_GB2312" w:eastAsia="仿宋_GB2312"/>
              </w:rPr>
              <w:t>80mm，高3500mm，含配件及底座法兰等。</w:t>
            </w:r>
          </w:p>
          <w:p>
            <w:pPr>
              <w:pStyle w:val="null3"/>
              <w:jc w:val="both"/>
            </w:pPr>
            <w:r>
              <w:rPr>
                <w:rFonts w:ascii="仿宋_GB2312" w:hAnsi="仿宋_GB2312" w:cs="仿宋_GB2312" w:eastAsia="仿宋_GB2312"/>
              </w:rPr>
              <w:t>基础：</w:t>
            </w:r>
            <w:r>
              <w:rPr>
                <w:rFonts w:ascii="仿宋_GB2312" w:hAnsi="仿宋_GB2312" w:cs="仿宋_GB2312" w:eastAsia="仿宋_GB2312"/>
              </w:rPr>
              <w:t>800×800×1200mm 砼基础。</w:t>
            </w:r>
          </w:p>
          <w:p>
            <w:pPr>
              <w:pStyle w:val="null3"/>
              <w:jc w:val="both"/>
            </w:pPr>
            <w:r>
              <w:rPr>
                <w:rFonts w:ascii="仿宋_GB2312" w:hAnsi="仿宋_GB2312" w:cs="仿宋_GB2312" w:eastAsia="仿宋_GB2312"/>
              </w:rPr>
              <w:t>（</w:t>
            </w:r>
            <w:r>
              <w:rPr>
                <w:rFonts w:ascii="仿宋_GB2312" w:hAnsi="仿宋_GB2312" w:cs="仿宋_GB2312" w:eastAsia="仿宋_GB2312"/>
              </w:rPr>
              <w:t>3）交通警示牌</w:t>
            </w:r>
          </w:p>
          <w:p>
            <w:pPr>
              <w:pStyle w:val="null3"/>
              <w:jc w:val="both"/>
            </w:pPr>
            <w:r>
              <w:rPr>
                <w:rFonts w:ascii="仿宋_GB2312" w:hAnsi="仿宋_GB2312" w:cs="仿宋_GB2312" w:eastAsia="仿宋_GB2312"/>
              </w:rPr>
              <w:t>尺寸：</w:t>
            </w:r>
            <w:r>
              <w:rPr>
                <w:rFonts w:ascii="仿宋_GB2312" w:hAnsi="仿宋_GB2312" w:cs="仿宋_GB2312" w:eastAsia="仿宋_GB2312"/>
              </w:rPr>
              <w:t>1500mm×600mm。</w:t>
            </w:r>
          </w:p>
          <w:p>
            <w:pPr>
              <w:pStyle w:val="null3"/>
              <w:jc w:val="both"/>
            </w:pPr>
            <w:r>
              <w:rPr>
                <w:rFonts w:ascii="仿宋_GB2312" w:hAnsi="仿宋_GB2312" w:cs="仿宋_GB2312" w:eastAsia="仿宋_GB2312"/>
              </w:rPr>
              <w:t>颜色：蓝底白边，图案背景和文字为白色。材质：</w:t>
            </w:r>
            <w:r>
              <w:rPr>
                <w:rFonts w:ascii="仿宋_GB2312" w:hAnsi="仿宋_GB2312" w:cs="仿宋_GB2312" w:eastAsia="仿宋_GB2312"/>
              </w:rPr>
              <w:t>3mm厚的铝合金，表层3M反光膜。</w:t>
            </w:r>
          </w:p>
          <w:p>
            <w:pPr>
              <w:pStyle w:val="null3"/>
              <w:jc w:val="both"/>
            </w:pPr>
            <w:r>
              <w:rPr>
                <w:rFonts w:ascii="仿宋_GB2312" w:hAnsi="仿宋_GB2312" w:cs="仿宋_GB2312" w:eastAsia="仿宋_GB2312"/>
              </w:rPr>
              <w:t>双柱式支持：镀锌管，管径</w:t>
            </w:r>
            <w:r>
              <w:rPr>
                <w:rFonts w:ascii="仿宋_GB2312" w:hAnsi="仿宋_GB2312" w:cs="仿宋_GB2312" w:eastAsia="仿宋_GB2312"/>
              </w:rPr>
              <w:t>80mm，高3100mm，含配件及底座法兰等。</w:t>
            </w:r>
          </w:p>
          <w:p>
            <w:pPr>
              <w:pStyle w:val="null3"/>
              <w:jc w:val="both"/>
            </w:pPr>
            <w:r>
              <w:rPr>
                <w:rFonts w:ascii="仿宋_GB2312" w:hAnsi="仿宋_GB2312" w:cs="仿宋_GB2312" w:eastAsia="仿宋_GB2312"/>
              </w:rPr>
              <w:t>基础：</w:t>
            </w:r>
            <w:r>
              <w:rPr>
                <w:rFonts w:ascii="仿宋_GB2312" w:hAnsi="仿宋_GB2312" w:cs="仿宋_GB2312" w:eastAsia="仿宋_GB2312"/>
              </w:rPr>
              <w:t>800×800×1200mm砼基础。</w:t>
            </w:r>
          </w:p>
          <w:p>
            <w:pPr>
              <w:pStyle w:val="null3"/>
              <w:jc w:val="both"/>
            </w:pPr>
            <w:r>
              <w:rPr>
                <w:rFonts w:ascii="仿宋_GB2312" w:hAnsi="仿宋_GB2312" w:cs="仿宋_GB2312" w:eastAsia="仿宋_GB2312"/>
              </w:rPr>
              <w:t>（</w:t>
            </w:r>
            <w:r>
              <w:rPr>
                <w:rFonts w:ascii="仿宋_GB2312" w:hAnsi="仿宋_GB2312" w:cs="仿宋_GB2312" w:eastAsia="仿宋_GB2312"/>
              </w:rPr>
              <w:t>4）宣传牌</w:t>
            </w:r>
          </w:p>
          <w:p>
            <w:pPr>
              <w:pStyle w:val="null3"/>
              <w:jc w:val="both"/>
            </w:pPr>
            <w:r>
              <w:rPr>
                <w:rFonts w:ascii="仿宋_GB2312" w:hAnsi="仿宋_GB2312" w:cs="仿宋_GB2312" w:eastAsia="仿宋_GB2312"/>
              </w:rPr>
              <w:t>版面尺寸：</w:t>
            </w:r>
            <w:r>
              <w:rPr>
                <w:rFonts w:ascii="仿宋_GB2312" w:hAnsi="仿宋_GB2312" w:cs="仿宋_GB2312" w:eastAsia="仿宋_GB2312"/>
              </w:rPr>
              <w:t>1m2。</w:t>
            </w:r>
          </w:p>
          <w:p>
            <w:pPr>
              <w:pStyle w:val="null3"/>
              <w:jc w:val="both"/>
            </w:pPr>
            <w:r>
              <w:rPr>
                <w:rFonts w:ascii="仿宋_GB2312" w:hAnsi="仿宋_GB2312" w:cs="仿宋_GB2312" w:eastAsia="仿宋_GB2312"/>
              </w:rPr>
              <w:t>颜色：蓝底白边，图案背景和文字为白色。材质：</w:t>
            </w:r>
            <w:r>
              <w:rPr>
                <w:rFonts w:ascii="仿宋_GB2312" w:hAnsi="仿宋_GB2312" w:cs="仿宋_GB2312" w:eastAsia="仿宋_GB2312"/>
              </w:rPr>
              <w:t>1.2mm厚反光铝板。</w:t>
            </w:r>
          </w:p>
          <w:p>
            <w:pPr>
              <w:pStyle w:val="null3"/>
              <w:jc w:val="both"/>
            </w:pPr>
            <w:r>
              <w:rPr>
                <w:rFonts w:ascii="仿宋_GB2312" w:hAnsi="仿宋_GB2312" w:cs="仿宋_GB2312" w:eastAsia="仿宋_GB2312"/>
              </w:rPr>
              <w:t>双柱式支持：镀锌管，管径</w:t>
            </w:r>
            <w:r>
              <w:rPr>
                <w:rFonts w:ascii="仿宋_GB2312" w:hAnsi="仿宋_GB2312" w:cs="仿宋_GB2312" w:eastAsia="仿宋_GB2312"/>
              </w:rPr>
              <w:t>76mm，高1800mm，含配件及底座法兰等。</w:t>
            </w:r>
          </w:p>
          <w:p>
            <w:pPr>
              <w:pStyle w:val="null3"/>
              <w:jc w:val="both"/>
            </w:pPr>
            <w:r>
              <w:rPr>
                <w:rFonts w:ascii="仿宋_GB2312" w:hAnsi="仿宋_GB2312" w:cs="仿宋_GB2312" w:eastAsia="仿宋_GB2312"/>
              </w:rPr>
              <w:t>5、标志管理与维护</w:t>
            </w:r>
          </w:p>
          <w:p>
            <w:pPr>
              <w:pStyle w:val="null3"/>
              <w:jc w:val="both"/>
            </w:pPr>
            <w:r>
              <w:rPr>
                <w:rFonts w:ascii="仿宋_GB2312" w:hAnsi="仿宋_GB2312" w:cs="仿宋_GB2312" w:eastAsia="仿宋_GB2312"/>
              </w:rPr>
              <w:t>饮用水水源保护区标志由各级地方政府或其环境保护行政主管部门负责管理和维护。</w:t>
            </w:r>
          </w:p>
          <w:p>
            <w:pPr>
              <w:pStyle w:val="null3"/>
              <w:jc w:val="both"/>
            </w:pPr>
            <w:r>
              <w:rPr>
                <w:rFonts w:ascii="仿宋_GB2312" w:hAnsi="仿宋_GB2312" w:cs="仿宋_GB2312" w:eastAsia="仿宋_GB2312"/>
              </w:rPr>
              <w:t>6、标志牌设置数量清单</w:t>
            </w:r>
          </w:p>
          <w:p>
            <w:pPr>
              <w:pStyle w:val="null3"/>
              <w:jc w:val="both"/>
            </w:pPr>
            <w:r>
              <w:rPr>
                <w:rFonts w:ascii="仿宋_GB2312" w:hAnsi="仿宋_GB2312" w:cs="仿宋_GB2312" w:eastAsia="仿宋_GB2312"/>
              </w:rPr>
              <w:t>标志牌设置数量清单表</w:t>
            </w:r>
          </w:p>
          <w:tbl>
            <w:tblPr>
              <w:tblInd w:type="dxa" w:w="105"/>
              <w:tblBorders>
                <w:top w:val="none" w:color="000000" w:sz="4"/>
                <w:left w:val="none" w:color="000000" w:sz="4"/>
                <w:bottom w:val="none" w:color="000000" w:sz="4"/>
                <w:right w:val="none" w:color="000000" w:sz="4"/>
                <w:insideH w:val="none"/>
                <w:insideV w:val="none"/>
              </w:tblBorders>
            </w:tblPr>
            <w:tblGrid>
              <w:gridCol w:w="431"/>
              <w:gridCol w:w="1018"/>
              <w:gridCol w:w="626"/>
              <w:gridCol w:w="478"/>
            </w:tblGrid>
            <w:tr>
              <w:tc>
                <w:tcPr>
                  <w:tcW w:type="dxa" w:w="4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内容</w:t>
                  </w:r>
                </w:p>
              </w:tc>
              <w:tc>
                <w:tcPr>
                  <w:tcW w:type="dxa" w:w="10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水源地名称</w:t>
                  </w:r>
                </w:p>
              </w:tc>
              <w:tc>
                <w:tcPr>
                  <w:tcW w:type="dxa" w:w="6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小计</w:t>
                  </w:r>
                </w:p>
              </w:tc>
              <w:tc>
                <w:tcPr>
                  <w:tcW w:type="dxa" w:w="4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合计</w:t>
                  </w:r>
                </w:p>
              </w:tc>
            </w:tr>
            <w:tr>
              <w:tc>
                <w:tcPr>
                  <w:tcW w:type="dxa" w:w="4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界桩（个）</w:t>
                  </w: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五竹街道侯家庙村水源地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16</w:t>
                  </w:r>
                </w:p>
              </w:tc>
              <w:tc>
                <w:tcPr>
                  <w:tcW w:type="dxa" w:w="47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68</w:t>
                  </w: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涝店街道谭家村水源地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8</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涝店街道涝下村地下水水源地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祖庵街道北寺村水源地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余下街道余下村水源地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20</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甘河街道甘河村地下水水源地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石井街道石东村地下水水源地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玉蝉街道水亭村地下水水源地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渭丰街道渭北村地下水水源地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478"/>
                  <w:vMerge/>
                  <w:tcBorders>
                    <w:top w:val="none" w:color="000000" w:sz="4"/>
                    <w:left w:val="single" w:color="000000" w:sz="4"/>
                    <w:bottom w:val="single" w:color="000000" w:sz="4"/>
                    <w:right w:val="single" w:color="000000" w:sz="4"/>
                  </w:tcBorders>
                </w:tcPr>
                <w:p/>
              </w:tc>
            </w:tr>
            <w:tr>
              <w:tc>
                <w:tcPr>
                  <w:tcW w:type="dxa" w:w="4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界标（块）</w:t>
                  </w: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五竹街道侯家庙村水源地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47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17</w:t>
                  </w: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涝店街道谭家村水源地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涝店街道涝下村地下水水源地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祖庵街道北寺村水源地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余下街道余下村水源地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5</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甘河街道甘河村地下水水源地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石井街道石东村地下水水源地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玉蝉街道水亭村地下水水源地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渭丰街道渭北村地下水水源地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478"/>
                  <w:vMerge/>
                  <w:tcBorders>
                    <w:top w:val="none" w:color="000000" w:sz="4"/>
                    <w:left w:val="single" w:color="000000" w:sz="4"/>
                    <w:bottom w:val="single" w:color="000000" w:sz="4"/>
                    <w:right w:val="single" w:color="000000" w:sz="4"/>
                  </w:tcBorders>
                </w:tcPr>
                <w:p/>
              </w:tc>
            </w:tr>
            <w:tr>
              <w:tc>
                <w:tcPr>
                  <w:tcW w:type="dxa" w:w="4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宣传牌</w:t>
                  </w: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五竹街道侯家庙村水源地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47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19</w:t>
                  </w: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涝店街道谭家村水源地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涝店街道涝下村地下水水源地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祖庵街道北寺村水源地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余下街道余下村水源地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5</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甘河街道甘河村地下水水源地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石井街道石东村地下水水源地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玉蝉街道水亭村地下水水源地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渭丰街道渭北村地下水水源地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w:t>
                  </w:r>
                </w:p>
              </w:tc>
              <w:tc>
                <w:tcPr>
                  <w:tcW w:type="dxa" w:w="478"/>
                  <w:vMerge/>
                  <w:tcBorders>
                    <w:top w:val="none" w:color="000000" w:sz="4"/>
                    <w:left w:val="single" w:color="000000" w:sz="4"/>
                    <w:bottom w:val="single" w:color="000000" w:sz="4"/>
                    <w:right w:val="single" w:color="000000" w:sz="4"/>
                  </w:tcBorders>
                </w:tcPr>
                <w:p/>
              </w:tc>
            </w:tr>
            <w:tr>
              <w:tc>
                <w:tcPr>
                  <w:tcW w:type="dxa" w:w="4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交通警示牌</w:t>
                  </w:r>
                </w:p>
                <w:p>
                  <w:pPr>
                    <w:pStyle w:val="null3"/>
                    <w:jc w:val="both"/>
                  </w:pPr>
                  <w:r>
                    <w:rPr>
                      <w:rFonts w:ascii="仿宋_GB2312" w:hAnsi="仿宋_GB2312" w:cs="仿宋_GB2312" w:eastAsia="仿宋_GB2312"/>
                    </w:rPr>
                    <w:t>（块）</w:t>
                  </w: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五竹街道侯家庙村水源地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8</w:t>
                  </w:r>
                </w:p>
              </w:tc>
              <w:tc>
                <w:tcPr>
                  <w:tcW w:type="dxa" w:w="47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53</w:t>
                  </w: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涝店街道谭家村水源地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6</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涝店街道涝下村地下水水源地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5</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祖庵街道北寺村水源地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余下街道余下村水源地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8</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甘河街道甘河村地下水水源地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6</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石井街道石东村地下水水源地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5</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玉蝉街道水亭村地下水水源地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478"/>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渭丰街道渭北村地下水水源地</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7</w:t>
                  </w:r>
                </w:p>
              </w:tc>
              <w:tc>
                <w:tcPr>
                  <w:tcW w:type="dxa" w:w="478"/>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rPr>
              <w:t>配备水源地水源保护区保护日常管理所需的设备、仪器等。</w:t>
            </w:r>
          </w:p>
          <w:p>
            <w:pPr>
              <w:pStyle w:val="null3"/>
              <w:jc w:val="both"/>
            </w:pPr>
            <w:r>
              <w:rPr>
                <w:rFonts w:ascii="仿宋_GB2312" w:hAnsi="仿宋_GB2312" w:cs="仿宋_GB2312" w:eastAsia="仿宋_GB2312"/>
              </w:rPr>
              <w:t>具体见下表</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546"/>
              <w:gridCol w:w="1309"/>
              <w:gridCol w:w="193"/>
              <w:gridCol w:w="234"/>
            </w:tblGrid>
            <w:tr>
              <w:tc>
                <w:tcPr>
                  <w:tcW w:type="dxa" w:w="271"/>
                  <w:tcBorders>
                    <w:top w:val="single" w:color="000000" w:sz="8"/>
                    <w:left w:val="single" w:color="000000" w:sz="8"/>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序号</w:t>
                  </w:r>
                </w:p>
              </w:tc>
              <w:tc>
                <w:tcPr>
                  <w:tcW w:type="dxa" w:w="546"/>
                  <w:tcBorders>
                    <w:top w:val="single" w:color="000000" w:sz="8"/>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项目</w:t>
                  </w:r>
                </w:p>
              </w:tc>
              <w:tc>
                <w:tcPr>
                  <w:tcW w:type="dxa" w:w="1309"/>
                  <w:tcBorders>
                    <w:top w:val="single" w:color="000000" w:sz="8"/>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规格</w:t>
                  </w:r>
                </w:p>
              </w:tc>
              <w:tc>
                <w:tcPr>
                  <w:tcW w:type="dxa" w:w="193"/>
                  <w:tcBorders>
                    <w:top w:val="single" w:color="000000" w:sz="8"/>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单位</w:t>
                  </w:r>
                </w:p>
              </w:tc>
              <w:tc>
                <w:tcPr>
                  <w:tcW w:type="dxa" w:w="234"/>
                  <w:tcBorders>
                    <w:top w:val="single" w:color="000000" w:sz="8"/>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rFonts w:ascii="仿宋_GB2312" w:hAnsi="仿宋_GB2312" w:cs="仿宋_GB2312" w:eastAsia="仿宋_GB2312"/>
                    </w:rPr>
                    <w:t>数量</w:t>
                  </w:r>
                </w:p>
              </w:tc>
            </w:tr>
            <w:tr>
              <w:tc>
                <w:tcPr>
                  <w:tcW w:type="dxa" w:w="271"/>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1</w:t>
                  </w:r>
                </w:p>
              </w:tc>
              <w:tc>
                <w:tcPr>
                  <w:tcW w:type="dxa" w:w="54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激光测距仪</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测距：</w:t>
                  </w:r>
                  <w:r>
                    <w:rPr>
                      <w:rFonts w:ascii="仿宋_GB2312" w:hAnsi="仿宋_GB2312" w:cs="仿宋_GB2312" w:eastAsia="仿宋_GB2312"/>
                    </w:rPr>
                    <w:t>≥200m，最小测量单位：0.1mm</w:t>
                  </w:r>
                </w:p>
                <w:p>
                  <w:pPr>
                    <w:pStyle w:val="null3"/>
                    <w:jc w:val="both"/>
                  </w:pPr>
                  <w:r>
                    <w:rPr>
                      <w:rFonts w:ascii="仿宋_GB2312" w:hAnsi="仿宋_GB2312" w:cs="仿宋_GB2312" w:eastAsia="仿宋_GB2312"/>
                    </w:rPr>
                    <w:t>误差：</w:t>
                  </w:r>
                  <w:r>
                    <w:rPr>
                      <w:rFonts w:ascii="仿宋_GB2312" w:hAnsi="仿宋_GB2312" w:cs="仿宋_GB2312" w:eastAsia="仿宋_GB2312"/>
                    </w:rPr>
                    <w:t>1mm倾角测量范围：360°,含蓝牙、延时测量等功能</w:t>
                  </w:r>
                </w:p>
              </w:tc>
              <w:tc>
                <w:tcPr>
                  <w:tcW w:type="dxa" w:w="19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台</w:t>
                  </w:r>
                </w:p>
              </w:tc>
              <w:tc>
                <w:tcPr>
                  <w:tcW w:type="dxa" w:w="234"/>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rFonts w:ascii="仿宋_GB2312" w:hAnsi="仿宋_GB2312" w:cs="仿宋_GB2312" w:eastAsia="仿宋_GB2312"/>
                    </w:rPr>
                    <w:t>1</w:t>
                  </w:r>
                </w:p>
              </w:tc>
            </w:tr>
            <w:tr>
              <w:tc>
                <w:tcPr>
                  <w:tcW w:type="dxa" w:w="271"/>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2</w:t>
                  </w:r>
                </w:p>
              </w:tc>
              <w:tc>
                <w:tcPr>
                  <w:tcW w:type="dxa" w:w="54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GPS手持机</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TFT高分辨触摸屏，精度0.5m，</w:t>
                  </w:r>
                </w:p>
                <w:p>
                  <w:pPr>
                    <w:pStyle w:val="null3"/>
                    <w:jc w:val="both"/>
                  </w:pPr>
                  <w:r>
                    <w:rPr>
                      <w:rFonts w:ascii="仿宋_GB2312" w:hAnsi="仿宋_GB2312" w:cs="仿宋_GB2312" w:eastAsia="仿宋_GB2312"/>
                    </w:rPr>
                    <w:t>支持多种通讯，含蓝牙、</w:t>
                  </w:r>
                  <w:r>
                    <w:rPr>
                      <w:rFonts w:ascii="仿宋_GB2312" w:hAnsi="仿宋_GB2312" w:cs="仿宋_GB2312" w:eastAsia="仿宋_GB2312"/>
                    </w:rPr>
                    <w:t>wifi多媒体等功能</w:t>
                  </w:r>
                </w:p>
              </w:tc>
              <w:tc>
                <w:tcPr>
                  <w:tcW w:type="dxa" w:w="19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台</w:t>
                  </w:r>
                </w:p>
              </w:tc>
              <w:tc>
                <w:tcPr>
                  <w:tcW w:type="dxa" w:w="234"/>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rFonts w:ascii="仿宋_GB2312" w:hAnsi="仿宋_GB2312" w:cs="仿宋_GB2312" w:eastAsia="仿宋_GB2312"/>
                    </w:rPr>
                    <w:t>2</w:t>
                  </w:r>
                </w:p>
              </w:tc>
            </w:tr>
            <w:tr>
              <w:tc>
                <w:tcPr>
                  <w:tcW w:type="dxa" w:w="271"/>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3</w:t>
                  </w:r>
                </w:p>
              </w:tc>
              <w:tc>
                <w:tcPr>
                  <w:tcW w:type="dxa" w:w="54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对讲机</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w:t>
                  </w:r>
                </w:p>
              </w:tc>
              <w:tc>
                <w:tcPr>
                  <w:tcW w:type="dxa" w:w="19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台</w:t>
                  </w:r>
                </w:p>
              </w:tc>
              <w:tc>
                <w:tcPr>
                  <w:tcW w:type="dxa" w:w="234"/>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rFonts w:ascii="仿宋_GB2312" w:hAnsi="仿宋_GB2312" w:cs="仿宋_GB2312" w:eastAsia="仿宋_GB2312"/>
                    </w:rPr>
                    <w:t>18</w:t>
                  </w:r>
                </w:p>
              </w:tc>
            </w:tr>
            <w:tr>
              <w:tc>
                <w:tcPr>
                  <w:tcW w:type="dxa" w:w="271"/>
                  <w:tcBorders>
                    <w:top w:val="none" w:color="000000" w:sz="4"/>
                    <w:left w:val="single" w:color="000000" w:sz="8"/>
                    <w:bottom w:val="single" w:color="000000" w:sz="8"/>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4</w:t>
                  </w:r>
                </w:p>
              </w:tc>
              <w:tc>
                <w:tcPr>
                  <w:tcW w:type="dxa" w:w="546"/>
                  <w:tcBorders>
                    <w:top w:val="none" w:color="000000" w:sz="4"/>
                    <w:left w:val="none" w:color="000000" w:sz="4"/>
                    <w:bottom w:val="single" w:color="000000" w:sz="8"/>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望远镜</w:t>
                  </w:r>
                </w:p>
              </w:tc>
              <w:tc>
                <w:tcPr>
                  <w:tcW w:type="dxa" w:w="1309"/>
                  <w:tcBorders>
                    <w:top w:val="none" w:color="000000" w:sz="4"/>
                    <w:left w:val="none" w:color="000000" w:sz="4"/>
                    <w:bottom w:val="single" w:color="000000" w:sz="8"/>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w:t>
                  </w:r>
                </w:p>
              </w:tc>
              <w:tc>
                <w:tcPr>
                  <w:tcW w:type="dxa" w:w="193"/>
                  <w:tcBorders>
                    <w:top w:val="none" w:color="000000" w:sz="4"/>
                    <w:left w:val="none" w:color="000000" w:sz="4"/>
                    <w:bottom w:val="single" w:color="000000" w:sz="8"/>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rPr>
                    <w:t>台</w:t>
                  </w:r>
                </w:p>
              </w:tc>
              <w:tc>
                <w:tcPr>
                  <w:tcW w:type="dxa" w:w="234"/>
                  <w:tcBorders>
                    <w:top w:val="none" w:color="000000" w:sz="4"/>
                    <w:left w:val="none" w:color="000000" w:sz="4"/>
                    <w:bottom w:val="single" w:color="000000" w:sz="8"/>
                    <w:right w:val="single" w:color="000000" w:sz="8"/>
                  </w:tcBorders>
                  <w:tcMar>
                    <w:top w:type="dxa" w:w="0"/>
                    <w:left w:type="dxa" w:w="30"/>
                    <w:bottom w:type="dxa" w:w="0"/>
                    <w:right w:type="dxa" w:w="30"/>
                  </w:tcMar>
                  <w:vAlign w:val="top"/>
                </w:tcPr>
                <w:p>
                  <w:pPr>
                    <w:pStyle w:val="null3"/>
                    <w:jc w:val="both"/>
                  </w:pPr>
                  <w:r>
                    <w:rPr>
                      <w:rFonts w:ascii="仿宋_GB2312" w:hAnsi="仿宋_GB2312" w:cs="仿宋_GB2312" w:eastAsia="仿宋_GB2312"/>
                    </w:rPr>
                    <w:t>9</w:t>
                  </w:r>
                </w:p>
              </w:tc>
            </w:tr>
          </w:tbl>
          <w:p>
            <w:pPr>
              <w:pStyle w:val="null3"/>
              <w:jc w:val="both"/>
            </w:pPr>
            <w:r>
              <w:rPr>
                <w:rFonts w:ascii="仿宋_GB2312" w:hAnsi="仿宋_GB2312" w:cs="仿宋_GB2312" w:eastAsia="仿宋_GB2312"/>
              </w:rPr>
              <w:t>7、在各水源地配置必要的应急物资，应对突发应急事件。</w:t>
            </w:r>
          </w:p>
          <w:p>
            <w:pPr>
              <w:pStyle w:val="null3"/>
              <w:jc w:val="both"/>
            </w:pPr>
            <w:r>
              <w:rPr>
                <w:rFonts w:ascii="仿宋_GB2312" w:hAnsi="仿宋_GB2312" w:cs="仿宋_GB2312" w:eastAsia="仿宋_GB2312"/>
                <w:sz w:val="21"/>
                <w:b/>
              </w:rPr>
              <w:t>二、商务要求</w:t>
            </w:r>
          </w:p>
          <w:p>
            <w:pPr>
              <w:pStyle w:val="null3"/>
            </w:pPr>
            <w:r>
              <w:rPr>
                <w:rFonts w:ascii="仿宋_GB2312" w:hAnsi="仿宋_GB2312" w:cs="仿宋_GB2312" w:eastAsia="仿宋_GB2312"/>
                <w:sz w:val="21"/>
              </w:rPr>
              <w:t>（一）</w:t>
            </w:r>
            <w:r>
              <w:rPr>
                <w:rFonts w:ascii="仿宋_GB2312" w:hAnsi="仿宋_GB2312" w:cs="仿宋_GB2312" w:eastAsia="仿宋_GB2312"/>
                <w:sz w:val="21"/>
              </w:rPr>
              <w:t>供货安装期</w:t>
            </w:r>
            <w:r>
              <w:rPr>
                <w:rFonts w:ascii="仿宋_GB2312" w:hAnsi="仿宋_GB2312" w:cs="仿宋_GB2312" w:eastAsia="仿宋_GB2312"/>
                <w:sz w:val="21"/>
              </w:rPr>
              <w:t>：自合同签订之日起</w:t>
            </w:r>
            <w:r>
              <w:rPr>
                <w:rFonts w:ascii="仿宋_GB2312" w:hAnsi="仿宋_GB2312" w:cs="仿宋_GB2312" w:eastAsia="仿宋_GB2312"/>
                <w:sz w:val="21"/>
              </w:rPr>
              <w:t>90日历天完成供货及安装</w:t>
            </w:r>
            <w:r>
              <w:rPr>
                <w:rFonts w:ascii="仿宋_GB2312" w:hAnsi="仿宋_GB2312" w:cs="仿宋_GB2312" w:eastAsia="仿宋_GB2312"/>
                <w:sz w:val="21"/>
              </w:rPr>
              <w:t>。</w:t>
            </w:r>
          </w:p>
          <w:p>
            <w:pPr>
              <w:pStyle w:val="null3"/>
            </w:pPr>
            <w:r>
              <w:rPr>
                <w:rFonts w:ascii="仿宋_GB2312" w:hAnsi="仿宋_GB2312" w:cs="仿宋_GB2312" w:eastAsia="仿宋_GB2312"/>
                <w:sz w:val="21"/>
              </w:rPr>
              <w:t>（二）款项结算：以合同约定为准。</w:t>
            </w:r>
          </w:p>
          <w:p>
            <w:pPr>
              <w:pStyle w:val="null3"/>
            </w:pPr>
            <w:r>
              <w:rPr>
                <w:rFonts w:ascii="仿宋_GB2312" w:hAnsi="仿宋_GB2312" w:cs="仿宋_GB2312" w:eastAsia="仿宋_GB2312"/>
                <w:sz w:val="21"/>
              </w:rPr>
              <w:t>（三）质保期：一年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自合同签订之日起90日历天完成供货及安装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乙方执行相关货物的制作并安装完成，经验收后（甲方付款前乙方需提供正式发票）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质保期完成后，满足合同全部要求，无质量问题，甲方无息支付（甲方付款前乙方需提供正式发票）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法定代表人直接参加磋商的，须出具法定代表人证明书及身份证；法定代表人授权代表参加磋商的，须出具法定代表人授权书及授权代表身份证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2023或2024年度经审计的财务报告或在2025年6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提供自2025年06月01日至递交磋商响应文件截止之日内已缴存任意一个月的依法缴纳税收的相关凭据，凭据应有税务机关或代收机关的公章或业务专用章。依法免税或无须缴纳税收的供应商，应提供相应证明文件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提供自2025年06月01日至递交磋商响应文件截止之日内任意一个月的社会保障资金缴存单据或社保机构开具的社会保险参保缴费情况证明。依法不需要缴纳社会保障资金的供应商应提供相应证明文件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在“信用中国”网站（www.creditchina.gov.cn）中被列入“信用服务”查询栏目”失信被执行人”或“重大税收违法案件当事人”名单；未被列入“中国政府采购网(www.ccgp.gov.cn)”“政府采购严重违法失信行为记录名单”需提供网站截图。（以采购人或采购代理机构开标当天查询结果为准）</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响应文件签署、盖章及投标有效期符合招标文件要求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磋商报价未超出采购最高限价</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所投标的设备（产品）规格参数、功能配置要求完全满足磋商内容及要求得基础分8分，每负偏离1项扣4分，负偏离≥3项按无效响应处理,本项满分8分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技术方案响应格式.docx</w:t>
            </w:r>
          </w:p>
          <w:p>
            <w:pPr>
              <w:pStyle w:val="null3"/>
            </w:pPr>
            <w:r>
              <w:rPr>
                <w:rFonts w:ascii="仿宋_GB2312" w:hAnsi="仿宋_GB2312" w:cs="仿宋_GB2312" w:eastAsia="仿宋_GB2312"/>
              </w:rPr>
              <w:t>相关资格证明材料.docx</w:t>
            </w:r>
          </w:p>
        </w:tc>
      </w:tr>
      <w:tr>
        <w:tc>
          <w:tcPr>
            <w:tcW w:type="dxa" w:w="831"/>
            <w:vMerge/>
          </w:tcP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1、根据供应商对项目需求的理解：①项目实施工作思路；②项目实施工作调研内容；③项目实施目标分析。对项目要求理解准确，内容齐全、结构完整、表述准确、条理清晰得15.0分，方案每缺失一项，扣5.0分。 2、评审标准： 完整性：方案须全面，对评审内容中的各项要求有详细描述； 可实施性：切合本项目实际情况，实施步骤清晰、合理； 针对性：方案能够紧扣项目实际情况，内容科学合理。 3、根据评审标准对项目需求的理解进行评审，每有一处内容存在缺陷的扣1.0分，扣完为止。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技术方案响应格式.docx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根据项目需求编制实施方案：①安装调试实施方案；②维护服务实施方案；③项目实施流程、计划、进度安排。对项目要求理解准确，内容齐全、结构完整、表述准确、条理清晰得15.0分，方案每缺失一项，扣5.0分。 2、评审标准： 完整性：方案须全面，对评审内容中的各项要求有详细描述； 可实施性：切合本项目实际情况，实施步骤清晰、合理； 针对性：方案能够紧扣项目实际情况，内容科学合理。 3、根据评审标准对供应商实施方案进行评审，每有一处内容存在缺陷的扣1.0分，扣完为止。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技术方案响应格式.docx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1、根据项目需求制定保障措施：①拟派团队人员配置方案及人员实力；②进度保障措施；③质量保障措施；④安全保障措施及突发情况处理方案。对项目要求理解准确，内容齐全、结构完整、表述准确、条理清晰得12.0分，方案每缺失一项，扣3.0分。 2、评审标准： 完整性：方案须全面，对评审内容中的各项要求有详细描述； 可实施性：切合本项目实际情况，实施步骤清晰、合理； 针对性：方案能够紧扣项目实际情况，内容科学合理。 3、根据评审标准对供应商保障措施进行评审，每有一处内容存在缺陷的扣1.0分，扣完为止。 备注：缺陷是指内容不合理、虽有内容但不完善、内容表述前后不一致、套用其他项目方案或与项目需求不匹配及其他不利于项目实施的等任意一种情形。注：拟派团队人员必须为本单位人员。</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技术方案响应格式.docx</w:t>
            </w:r>
          </w:p>
        </w:tc>
      </w:tr>
      <w:tr>
        <w:tc>
          <w:tcPr>
            <w:tcW w:type="dxa" w:w="831"/>
            <w:vMerge/>
          </w:tcPr>
          <w:p/>
        </w:tc>
        <w:tc>
          <w:tcPr>
            <w:tcW w:type="dxa" w:w="1661"/>
          </w:tcPr>
          <w:p>
            <w:pPr>
              <w:pStyle w:val="null3"/>
            </w:pPr>
            <w:r>
              <w:rPr>
                <w:rFonts w:ascii="仿宋_GB2312" w:hAnsi="仿宋_GB2312" w:cs="仿宋_GB2312" w:eastAsia="仿宋_GB2312"/>
              </w:rPr>
              <w:t>维保售后服务相关承诺</w:t>
            </w:r>
          </w:p>
        </w:tc>
        <w:tc>
          <w:tcPr>
            <w:tcW w:type="dxa" w:w="2492"/>
          </w:tcPr>
          <w:p>
            <w:pPr>
              <w:pStyle w:val="null3"/>
            </w:pPr>
            <w:r>
              <w:rPr>
                <w:rFonts w:ascii="仿宋_GB2312" w:hAnsi="仿宋_GB2312" w:cs="仿宋_GB2312" w:eastAsia="仿宋_GB2312"/>
              </w:rPr>
              <w:t>1、根据供应商相关维保售后服务相关承诺进行评审：①承诺质保1年期间免费上门服务；②承诺人工、配件、交通费用由供应商负责；③承诺24小时远程技术服务支持；④承诺无需更换设备的，1天内完成修复，需更换设备的，3天内完成修复。承诺内容齐全、结构完整、表述准确、条理清晰，符合或优于要求得8.0分，承诺每缺失一项，扣2.0分。 2、评审标准： 完整性：方案须全面，对评审内容中的各项要求有详细描述； 可实施性：切合本项目实际情况，实施步骤清晰、合理； 针对性：方案能够紧扣项目实际情况，内容科学合理。 3、根据评审标准对供应商维保售后服务相关承诺进行评审，每有一处内容存在缺陷的扣1.0分，扣完为止。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技术方案响应格式.docx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 为更好的服务于本项目，供应商提出适用本项目实施的合理化建议：①对本项目供货工作中的常见问题进行梳理；②针对问题提供的的解决方案。 2.评审标准： ①可实施性：切合本项目实际情况，方案全面、实施步骤清晰、计划合理； ②针对性：方案能够紧扣项目实际情况，内容科学合理； 3.赋分标准： ①常见问题进行梳理：每完全满足一个评审标准得1分，满分2分；有一项缺陷扣0.5分。 ②解决方案:每完全满足一个评审标准得1分，满分2分；有一项缺陷扣0.5分。 以上内容未提供得0分。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技术方案响应格式.docx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供应商提供近三年（2023年01月至今）具有类似项目业绩，每提供一份得2分，满分8分。 评审依据：提供供应商加盖公章的合同协议书复印件，以合同签订时间为准。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技术方案响应格式.docx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采用低价优先法计算，即满足磋商文件要求且投标价格最低的投标报价为评标基准价，其价格分为满分。 投标报价得分＝（评标基准价/投标报价）×30 备注：当磋商小组认为某个供应商的报价明显低于其他通过符合性审查供应商的报价，有可能影响产品质量和不能诚信履约的，应要求该供应商在评标现场合理的时间内提供书面说明，必要时提交相关证明材料；供应商不能证明其报价合理的，磋商小组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详见附件：技术方案响应格式.docx</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