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版本号：ZJZB2026-CS100720260206001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车辆租赁项目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ZJZB2026-CS1007</w:t>
      </w:r>
      <w:r>
        <w:br/>
      </w:r>
      <w:r>
        <w:br/>
      </w:r>
      <w:r>
        <w:br/>
      </w:r>
    </w:p>
    <w:p>
      <w:pPr>
        <w:pStyle w:val="null3"/>
        <w:jc w:val="center"/>
        <w:outlineLvl w:val="2"/>
      </w:pPr>
      <w:r>
        <w:rPr>
          <w:rFonts w:ascii="仿宋_GB2312" w:hAnsi="仿宋_GB2312" w:cs="仿宋_GB2312" w:eastAsia="仿宋_GB2312"/>
          <w:sz w:val="28"/>
          <w:b/>
        </w:rPr>
        <w:t>陕西西咸新区人民检察院</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陕西西咸新区人民检察院</w:t>
      </w:r>
      <w:r>
        <w:rPr>
          <w:rFonts w:ascii="仿宋_GB2312" w:hAnsi="仿宋_GB2312" w:cs="仿宋_GB2312" w:eastAsia="仿宋_GB2312"/>
        </w:rPr>
        <w:t>委托，拟对</w:t>
      </w:r>
      <w:r>
        <w:rPr>
          <w:rFonts w:ascii="仿宋_GB2312" w:hAnsi="仿宋_GB2312" w:cs="仿宋_GB2312" w:eastAsia="仿宋_GB2312"/>
        </w:rPr>
        <w:t>车辆租赁项目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ZJZB2026-CS1007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车辆租赁项目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租用公务用车8辆，其中七座商务车1辆，越野车1辆，五座轿车（B级车）1辆，五座轿车（A级车）5辆。配备驾驶员10人。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采购包1（车辆租赁）：属于专门面向中小企业采购。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陕西西咸新区人民检察院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陕西省咸阳市渭城区窑店街道兰池二路与秦义南路交叉口兰池大厦A座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712039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陕西西咸新区人民检察院经办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029-33356051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陕西省西安市高新区高新路52号高科大厦8F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招标代理中心曾艳、高杰、高凯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029-88336376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依据国家计委颁布《招标代理服务收费管理暂行办法》（计价格[2002]1980号）和国家发展和改革委员会办公厅颁发的《关于招标代理服务收费有关问题的通知》（发改办价格[2003]857号）文件规定执行. 2、招标代理服务费由中标人支付，在领取《中标通知书》前，由中标人一次性支付给陕西中基项目管理有限公司。 3、招标代理服务费缴纳账户： 开户名称：陕西中基项目管理有限公司 开户银行：招商银行股份有限公司西安小寨支行 账号：999008462710001 备注：中标公示结束后，中标单位，需向代理公司无偿提交装订成册并加盖鲜章与电子投标文件一致的纸质版3套（壹正贰副），电子版PDF格式U盘贰份。（投标人对所提供资料的真实性、合法性、准确性、完整性负责），无需密封。</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陕西西咸新区人民检察院</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陕西西咸新区人民检察院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陕西西咸新区人民检察院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达到国家现行有关验收规范“合格”标准。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联系人：曾艳</w:t>
      </w:r>
    </w:p>
    <w:p>
      <w:pPr>
        <w:pStyle w:val="null3"/>
      </w:pPr>
      <w:r>
        <w:rPr>
          <w:rFonts w:ascii="仿宋_GB2312" w:hAnsi="仿宋_GB2312" w:cs="仿宋_GB2312" w:eastAsia="仿宋_GB2312"/>
        </w:rPr>
        <w:t>联系电话：029-88336376</w:t>
      </w:r>
    </w:p>
    <w:p>
      <w:pPr>
        <w:pStyle w:val="null3"/>
      </w:pPr>
      <w:r>
        <w:rPr>
          <w:rFonts w:ascii="仿宋_GB2312" w:hAnsi="仿宋_GB2312" w:cs="仿宋_GB2312" w:eastAsia="仿宋_GB2312"/>
        </w:rPr>
        <w:t>地址：西安市高新区高新路52号高科大厦8F</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租用公务用车8辆，其中七座商务车1辆，越野车1辆，五座轿车（B级车）1辆，五座轿车（A级车）5辆。配备驾驶员10人。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车辆租赁</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月</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标的名称：车辆租赁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（一）费用构成</w:t>
            </w:r>
          </w:p>
          <w:p>
            <w:pPr>
              <w:pStyle w:val="null3"/>
              <w:ind w:firstLine="560"/>
              <w:jc w:val="both"/>
            </w:pPr>
            <w:r>
              <w:rPr>
                <w:rFonts w:ascii="仿宋_GB2312" w:hAnsi="仿宋_GB2312" w:cs="仿宋_GB2312" w:eastAsia="仿宋_GB2312"/>
                <w:sz w:val="28"/>
              </w:rPr>
              <w:t>1.车辆租赁费：综合租赁全包费用，包含但不限于使用费（车辆日常使用的基础费用）、保险费（交强险及商业保险等）、年检费（确保车辆按时通过年检并承担相关全部费用）、维保费（包含定期保养、非事故导致的故障维修及合理磨损件更换）等所有与车辆正常、合法使用相关的费用。租赁费标准见下表：</w:t>
            </w:r>
          </w:p>
          <w:tbl>
            <w:tblPr>
              <w:tblInd w:type="dxa" w:w="135"/>
              <w:tblBorders>
                <w:top w:val="none" w:color="000000" w:sz="4"/>
                <w:left w:val="none" w:color="000000" w:sz="4"/>
                <w:bottom w:val="none" w:color="000000" w:sz="4"/>
                <w:right w:val="none" w:color="000000" w:sz="4"/>
                <w:insideH w:val="none"/>
                <w:insideV w:val="none"/>
              </w:tblBorders>
            </w:tblPr>
            <w:tblGrid>
              <w:gridCol w:w="280"/>
              <w:gridCol w:w="758"/>
              <w:gridCol w:w="1138"/>
              <w:gridCol w:w="377"/>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车辆类型</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租用数量</w:t>
                  </w:r>
                </w:p>
                <w:p>
                  <w:pPr>
                    <w:pStyle w:val="null3"/>
                    <w:jc w:val="center"/>
                  </w:pPr>
                  <w:r>
                    <w:rPr>
                      <w:rFonts w:ascii="仿宋_GB2312" w:hAnsi="仿宋_GB2312" w:cs="仿宋_GB2312" w:eastAsia="仿宋_GB2312"/>
                      <w:sz w:val="24"/>
                    </w:rPr>
                    <w:t>（辆）</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    （元/月）</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七座商务车</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42000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越野车</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7"/>
                  <w:vMerge/>
                  <w:tcBorders>
                    <w:top w:val="none" w:color="000000" w:sz="4"/>
                    <w:left w:val="single" w:color="000000" w:sz="4"/>
                    <w:bottom w:val="single" w:color="000000" w:sz="4"/>
                    <w:right w:val="single" w:color="000000" w:sz="4"/>
                  </w:tcBorders>
                </w:tc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五座轿车</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B级车）</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7"/>
                  <w:vMerge/>
                  <w:tcBorders>
                    <w:top w:val="none" w:color="000000" w:sz="4"/>
                    <w:left w:val="single" w:color="000000" w:sz="4"/>
                    <w:bottom w:val="single" w:color="000000" w:sz="4"/>
                    <w:right w:val="single" w:color="000000" w:sz="4"/>
                  </w:tcBorders>
                </w:tc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五座轿车</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A级车）</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7"/>
                  <w:vMerge/>
                  <w:tcBorders>
                    <w:top w:val="none" w:color="000000" w:sz="4"/>
                    <w:left w:val="single" w:color="000000" w:sz="4"/>
                    <w:bottom w:val="single" w:color="000000" w:sz="4"/>
                    <w:right w:val="single" w:color="000000" w:sz="4"/>
                  </w:tcBorders>
                </w:tcPr>
                <w:p/>
              </w:tc>
            </w:tr>
          </w:tbl>
          <w:p>
            <w:pPr>
              <w:pStyle w:val="null3"/>
              <w:ind w:firstLine="560"/>
              <w:jc w:val="both"/>
            </w:pPr>
            <w:r>
              <w:rPr>
                <w:rFonts w:ascii="仿宋_GB2312" w:hAnsi="仿宋_GB2312" w:cs="仿宋_GB2312" w:eastAsia="仿宋_GB2312"/>
                <w:sz w:val="28"/>
              </w:rPr>
              <w:t>2.驾驶员服务费：配备驾驶员的劳务费用，标准为每人每月5500元，此价格已包含该名驾驶员工资、社保、福利、管理、税费等全部费用，不因任何原因调整。费用标准见下表：</w:t>
            </w:r>
          </w:p>
          <w:tbl>
            <w:tblPr>
              <w:tblInd w:type="dxa" w:w="135"/>
              <w:tblBorders>
                <w:top w:val="none" w:color="000000" w:sz="4"/>
                <w:left w:val="none" w:color="000000" w:sz="4"/>
                <w:bottom w:val="none" w:color="000000" w:sz="4"/>
                <w:right w:val="none" w:color="000000" w:sz="4"/>
                <w:insideH w:val="none"/>
                <w:insideV w:val="none"/>
              </w:tblBorders>
            </w:tblPr>
            <w:tblGrid>
              <w:gridCol w:w="302"/>
              <w:gridCol w:w="730"/>
              <w:gridCol w:w="759"/>
              <w:gridCol w:w="421"/>
              <w:gridCol w:w="341"/>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项目名称</w:t>
                  </w:r>
                </w:p>
              </w:tc>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每月包干单价</w:t>
                  </w:r>
                </w:p>
                <w:p>
                  <w:pPr>
                    <w:pStyle w:val="null3"/>
                    <w:jc w:val="center"/>
                  </w:pPr>
                  <w:r>
                    <w:rPr>
                      <w:rFonts w:ascii="仿宋_GB2312" w:hAnsi="仿宋_GB2312" w:cs="仿宋_GB2312" w:eastAsia="仿宋_GB2312"/>
                      <w:sz w:val="24"/>
                    </w:rPr>
                    <w:t>（元</w:t>
                  </w:r>
                  <w:r>
                    <w:rPr>
                      <w:rFonts w:ascii="仿宋_GB2312" w:hAnsi="仿宋_GB2312" w:cs="仿宋_GB2312" w:eastAsia="仿宋_GB2312"/>
                      <w:sz w:val="24"/>
                    </w:rPr>
                    <w:t>/人）</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人数</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金额</w:t>
                  </w:r>
                </w:p>
                <w:p>
                  <w:pPr>
                    <w:pStyle w:val="null3"/>
                    <w:jc w:val="center"/>
                  </w:pPr>
                  <w:r>
                    <w:rPr>
                      <w:rFonts w:ascii="仿宋_GB2312" w:hAnsi="仿宋_GB2312" w:cs="仿宋_GB2312" w:eastAsia="仿宋_GB2312"/>
                      <w:sz w:val="24"/>
                    </w:rPr>
                    <w:t>（元）</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驾驶员服务费</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5500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10人</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55000</w:t>
                  </w:r>
                </w:p>
              </w:tc>
            </w:tr>
            <w:tr>
              <w:tc>
                <w:tcPr>
                  <w:tcW w:type="dxa" w:w="221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55000</w:t>
                  </w:r>
                </w:p>
              </w:tc>
            </w:tr>
          </w:tbl>
          <w:p>
            <w:pPr>
              <w:pStyle w:val="null3"/>
              <w:ind w:firstLine="560"/>
              <w:jc w:val="both"/>
            </w:pPr>
            <w:r>
              <w:rPr>
                <w:rFonts w:ascii="仿宋_GB2312" w:hAnsi="仿宋_GB2312" w:cs="仿宋_GB2312" w:eastAsia="仿宋_GB2312"/>
                <w:sz w:val="28"/>
              </w:rPr>
              <w:t>（二）据实结算费用（按发生支付，此费用已包含在本次磋商预算内）</w:t>
            </w:r>
          </w:p>
          <w:p>
            <w:pPr>
              <w:pStyle w:val="null3"/>
              <w:ind w:firstLine="560"/>
              <w:jc w:val="both"/>
            </w:pPr>
            <w:r>
              <w:rPr>
                <w:rFonts w:ascii="仿宋_GB2312" w:hAnsi="仿宋_GB2312" w:cs="仿宋_GB2312" w:eastAsia="仿宋_GB2312"/>
                <w:sz w:val="28"/>
              </w:rPr>
              <w:t>1.通行费：车辆行驶产生的过路（桥、隧）费、停车等费用。车辆在服务期间产生的通行费用由供应商先行垫付，按月据实结算。结算时，供应商须提供对应车辆的机打通行费发票等有效凭证及派车单，经采购人审核无误后，按程序支付相应款项。</w:t>
            </w:r>
          </w:p>
          <w:p>
            <w:pPr>
              <w:pStyle w:val="null3"/>
              <w:ind w:firstLine="560"/>
              <w:jc w:val="both"/>
            </w:pPr>
            <w:r>
              <w:rPr>
                <w:rFonts w:ascii="仿宋_GB2312" w:hAnsi="仿宋_GB2312" w:cs="仿宋_GB2312" w:eastAsia="仿宋_GB2312"/>
                <w:sz w:val="28"/>
              </w:rPr>
              <w:t>2.能源消耗费：车辆运行所消耗的燃油、电力、燃气等费用。车辆在服务期间产生的能源消耗费用由供应商先行垫付，按月据实结算。供应商应确保车辆里程数据真实、可溯。结算时，供应商须提供合规油票/电费发票等及对应里程记录和派车单，经采购人审核无误后，按程序支付相应款项。</w:t>
            </w:r>
          </w:p>
          <w:p>
            <w:pPr>
              <w:pStyle w:val="null3"/>
              <w:ind w:firstLine="560"/>
              <w:jc w:val="both"/>
            </w:pPr>
            <w:r>
              <w:rPr>
                <w:rFonts w:ascii="仿宋_GB2312" w:hAnsi="仿宋_GB2312" w:cs="仿宋_GB2312" w:eastAsia="仿宋_GB2312"/>
                <w:sz w:val="28"/>
              </w:rPr>
              <w:t>3.零星公务活动车辆保障费：供应商根据采购人用车需求，提供符合运营资质的中型、大型客车车辆及驾驶服务，用于采购人指定的活动人员接送。产生的费用为据实结算费，根据实际发生的车型、车次、里程与时间据实结算。</w:t>
            </w:r>
          </w:p>
          <w:p>
            <w:pPr>
              <w:pStyle w:val="null3"/>
              <w:ind w:firstLine="560"/>
              <w:jc w:val="both"/>
            </w:pPr>
            <w:r>
              <w:rPr>
                <w:rFonts w:ascii="仿宋_GB2312" w:hAnsi="仿宋_GB2312" w:cs="仿宋_GB2312" w:eastAsia="仿宋_GB2312"/>
                <w:sz w:val="28"/>
              </w:rPr>
              <w:t>（一）车辆要求</w:t>
            </w:r>
          </w:p>
          <w:p>
            <w:pPr>
              <w:pStyle w:val="null3"/>
              <w:ind w:firstLine="560"/>
              <w:jc w:val="both"/>
            </w:pPr>
            <w:r>
              <w:rPr>
                <w:rFonts w:ascii="仿宋_GB2312" w:hAnsi="仿宋_GB2312" w:cs="仿宋_GB2312" w:eastAsia="仿宋_GB2312"/>
                <w:sz w:val="28"/>
              </w:rPr>
              <w:t>1.车型及配置：</w:t>
            </w:r>
          </w:p>
          <w:tbl>
            <w:tblPr>
              <w:tblInd w:type="dxa" w:w="135"/>
              <w:tblBorders>
                <w:top w:val="none" w:color="000000" w:sz="4"/>
                <w:left w:val="none" w:color="000000" w:sz="4"/>
                <w:bottom w:val="none" w:color="000000" w:sz="4"/>
                <w:right w:val="none" w:color="000000" w:sz="4"/>
                <w:insideH w:val="none"/>
                <w:insideV w:val="none"/>
              </w:tblBorders>
            </w:tblPr>
            <w:tblGrid>
              <w:gridCol w:w="709"/>
              <w:gridCol w:w="3117"/>
            </w:tblGrid>
            <w:tr>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车辆类型</w:t>
                  </w:r>
                </w:p>
              </w:tc>
              <w:tc>
                <w:tcPr>
                  <w:tcW w:type="dxa" w:w="3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配置标准</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七座商务车</w:t>
                  </w:r>
                </w:p>
              </w:tc>
              <w:tc>
                <w:tcPr>
                  <w:tcW w:type="dxa" w:w="3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绿牌混动车型，购置年限不超过</w:t>
                  </w:r>
                  <w:r>
                    <w:rPr>
                      <w:rFonts w:ascii="仿宋_GB2312" w:hAnsi="仿宋_GB2312" w:cs="仿宋_GB2312" w:eastAsia="仿宋_GB2312"/>
                      <w:sz w:val="24"/>
                    </w:rPr>
                    <w:t>2年或行驶里程≤3万公里</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越野车</w:t>
                  </w:r>
                </w:p>
              </w:tc>
              <w:tc>
                <w:tcPr>
                  <w:tcW w:type="dxa" w:w="3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四驱纯油车型，购置年限不超过</w:t>
                  </w:r>
                  <w:r>
                    <w:rPr>
                      <w:rFonts w:ascii="仿宋_GB2312" w:hAnsi="仿宋_GB2312" w:cs="仿宋_GB2312" w:eastAsia="仿宋_GB2312"/>
                      <w:sz w:val="24"/>
                    </w:rPr>
                    <w:t>2年或行驶里程≤3万公里。适用于山坡、河滩等复杂路况行驶，满足公益诉讼现场调查、取证等工作要求。</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五座轿车</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B级车）</w:t>
                  </w:r>
                </w:p>
              </w:tc>
              <w:tc>
                <w:tcPr>
                  <w:tcW w:type="dxa" w:w="3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绿牌混动车型，购置年限不超过</w:t>
                  </w:r>
                  <w:r>
                    <w:rPr>
                      <w:rFonts w:ascii="仿宋_GB2312" w:hAnsi="仿宋_GB2312" w:cs="仿宋_GB2312" w:eastAsia="仿宋_GB2312"/>
                      <w:sz w:val="24"/>
                    </w:rPr>
                    <w:t>2年或行驶里程≤3万公里</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五座轿车</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A级车）</w:t>
                  </w:r>
                </w:p>
              </w:tc>
              <w:tc>
                <w:tcPr>
                  <w:tcW w:type="dxa" w:w="3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绿牌混动车型，购置年限不超过</w:t>
                  </w:r>
                  <w:r>
                    <w:rPr>
                      <w:rFonts w:ascii="仿宋_GB2312" w:hAnsi="仿宋_GB2312" w:cs="仿宋_GB2312" w:eastAsia="仿宋_GB2312"/>
                      <w:sz w:val="24"/>
                    </w:rPr>
                    <w:t>2年或行驶里程≤3万公里</w:t>
                  </w:r>
                </w:p>
              </w:tc>
            </w:tr>
          </w:tbl>
          <w:p>
            <w:pPr>
              <w:pStyle w:val="null3"/>
              <w:ind w:firstLine="560"/>
              <w:jc w:val="both"/>
            </w:pPr>
            <w:r>
              <w:rPr>
                <w:rFonts w:ascii="仿宋_GB2312" w:hAnsi="仿宋_GB2312" w:cs="仿宋_GB2312" w:eastAsia="仿宋_GB2312"/>
                <w:sz w:val="28"/>
              </w:rPr>
              <w:t>2.车辆状况：车辆外观、内饰完好；无事故；无违章。供应商须保证其在响应文件中列明的所有车辆型号、技术参数、配置，与实际提供服务车辆状况一致。</w:t>
            </w:r>
          </w:p>
          <w:p>
            <w:pPr>
              <w:pStyle w:val="null3"/>
              <w:ind w:firstLine="560"/>
              <w:jc w:val="both"/>
            </w:pPr>
            <w:r>
              <w:rPr>
                <w:rFonts w:ascii="仿宋_GB2312" w:hAnsi="仿宋_GB2312" w:cs="仿宋_GB2312" w:eastAsia="仿宋_GB2312"/>
                <w:sz w:val="28"/>
              </w:rPr>
              <w:t>3.定期维护：有相应车辆保养记录（5000公里/次），包括机油、轮胎、刹车等关键部件检查。</w:t>
            </w:r>
          </w:p>
          <w:p>
            <w:pPr>
              <w:pStyle w:val="null3"/>
              <w:ind w:firstLine="560"/>
              <w:jc w:val="both"/>
            </w:pPr>
            <w:r>
              <w:rPr>
                <w:rFonts w:ascii="仿宋_GB2312" w:hAnsi="仿宋_GB2312" w:cs="仿宋_GB2312" w:eastAsia="仿宋_GB2312"/>
                <w:sz w:val="28"/>
              </w:rPr>
              <w:t>4.清洁消毒：车内外清洁，保持无烟味、无异味，座椅无破损。</w:t>
            </w:r>
          </w:p>
          <w:p>
            <w:pPr>
              <w:pStyle w:val="null3"/>
              <w:ind w:firstLine="560"/>
              <w:jc w:val="both"/>
            </w:pPr>
            <w:r>
              <w:rPr>
                <w:rFonts w:ascii="仿宋_GB2312" w:hAnsi="仿宋_GB2312" w:cs="仿宋_GB2312" w:eastAsia="仿宋_GB2312"/>
                <w:sz w:val="28"/>
              </w:rPr>
              <w:t>5.安全配置：标配ABS、ESP、安全气囊、胎压监测等。</w:t>
            </w:r>
          </w:p>
          <w:p>
            <w:pPr>
              <w:pStyle w:val="null3"/>
              <w:ind w:firstLine="560"/>
              <w:jc w:val="both"/>
            </w:pPr>
            <w:r>
              <w:rPr>
                <w:rFonts w:ascii="仿宋_GB2312" w:hAnsi="仿宋_GB2312" w:cs="仿宋_GB2312" w:eastAsia="仿宋_GB2312"/>
                <w:sz w:val="28"/>
              </w:rPr>
              <w:t>6.舒适配置：空调、蓝牙/USB接口、车载导航（或手机支架）。</w:t>
            </w:r>
          </w:p>
          <w:p>
            <w:pPr>
              <w:pStyle w:val="null3"/>
              <w:ind w:firstLine="560"/>
              <w:jc w:val="both"/>
            </w:pPr>
            <w:r>
              <w:rPr>
                <w:rFonts w:ascii="仿宋_GB2312" w:hAnsi="仿宋_GB2312" w:cs="仿宋_GB2312" w:eastAsia="仿宋_GB2312"/>
                <w:sz w:val="28"/>
              </w:rPr>
              <w:t>7.保险要求：包括但不限于交强险、车损险、第三者责任险（≥200万）、车上人员责任险、自燃险。</w:t>
            </w:r>
          </w:p>
          <w:p>
            <w:pPr>
              <w:pStyle w:val="null3"/>
              <w:ind w:firstLine="560"/>
              <w:jc w:val="both"/>
            </w:pPr>
            <w:r>
              <w:rPr>
                <w:rFonts w:ascii="仿宋_GB2312" w:hAnsi="仿宋_GB2312" w:cs="仿宋_GB2312" w:eastAsia="仿宋_GB2312"/>
                <w:sz w:val="28"/>
              </w:rPr>
              <w:t>8.安全责任：供应商须对其指派驾驶员的行为和安全负全部责任。如因驾驶员原因发生事故，全部责任由供应商承担，并不得影响采购人的正常用车需求。</w:t>
            </w:r>
          </w:p>
          <w:p>
            <w:pPr>
              <w:pStyle w:val="null3"/>
              <w:ind w:firstLine="560"/>
              <w:jc w:val="both"/>
            </w:pPr>
            <w:r>
              <w:rPr>
                <w:rFonts w:ascii="仿宋_GB2312" w:hAnsi="仿宋_GB2312" w:cs="仿宋_GB2312" w:eastAsia="仿宋_GB2312"/>
                <w:sz w:val="28"/>
              </w:rPr>
              <w:t>9.违章及事故处理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1）违章责任：在租赁期内，因供应商指派驾驶员的驾驶行为所产生的一切交通违法罚款、扣分及处理费用，均由供应商承担。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2）处理时效：供应商或其驾驶员应在收到违章通知后【15】个工作日内自行负责处理完毕。因逾期处理产生的滞纳金等额外费用由供应商承担。</w:t>
            </w:r>
          </w:p>
          <w:p>
            <w:pPr>
              <w:pStyle w:val="null3"/>
              <w:ind w:firstLine="560"/>
              <w:jc w:val="both"/>
            </w:pPr>
            <w:r>
              <w:rPr>
                <w:rFonts w:ascii="仿宋_GB2312" w:hAnsi="仿宋_GB2312" w:cs="仿宋_GB2312" w:eastAsia="仿宋_GB2312"/>
                <w:sz w:val="28"/>
              </w:rPr>
              <w:t>10.保障隐私：未经采购人同意不得私自查询GPS轨迹。</w:t>
            </w:r>
          </w:p>
          <w:p>
            <w:pPr>
              <w:pStyle w:val="null3"/>
              <w:ind w:firstLine="560"/>
              <w:jc w:val="both"/>
            </w:pPr>
            <w:r>
              <w:rPr>
                <w:rFonts w:ascii="仿宋_GB2312" w:hAnsi="仿宋_GB2312" w:cs="仿宋_GB2312" w:eastAsia="仿宋_GB2312"/>
                <w:sz w:val="28"/>
              </w:rPr>
              <w:t>11.其他要求：供应商所提供的车辆全部办理西安绕城高速ETC包年。</w:t>
            </w:r>
          </w:p>
          <w:p>
            <w:pPr>
              <w:pStyle w:val="null3"/>
              <w:ind w:firstLine="560"/>
              <w:jc w:val="both"/>
            </w:pPr>
            <w:r>
              <w:rPr>
                <w:rFonts w:ascii="仿宋_GB2312" w:hAnsi="仿宋_GB2312" w:cs="仿宋_GB2312" w:eastAsia="仿宋_GB2312"/>
                <w:sz w:val="28"/>
              </w:rPr>
              <w:t>（二）驾驶员要求</w:t>
            </w:r>
          </w:p>
          <w:p>
            <w:pPr>
              <w:pStyle w:val="null3"/>
              <w:ind w:firstLine="560"/>
              <w:jc w:val="both"/>
            </w:pPr>
            <w:r>
              <w:rPr>
                <w:rFonts w:ascii="仿宋_GB2312" w:hAnsi="仿宋_GB2312" w:cs="仿宋_GB2312" w:eastAsia="仿宋_GB2312"/>
                <w:sz w:val="28"/>
              </w:rPr>
              <w:t>政治面貌与品行：遵纪守法，无违法犯罪记录。</w:t>
            </w:r>
          </w:p>
          <w:p>
            <w:pPr>
              <w:pStyle w:val="null3"/>
              <w:ind w:firstLine="560"/>
              <w:jc w:val="both"/>
            </w:pPr>
            <w:r>
              <w:rPr>
                <w:rFonts w:ascii="仿宋_GB2312" w:hAnsi="仿宋_GB2312" w:cs="仿宋_GB2312" w:eastAsia="仿宋_GB2312"/>
                <w:sz w:val="28"/>
              </w:rPr>
              <w:t>驾驶证要求：持有中华人民共和国机动车驾驶证，准驾车型为</w:t>
            </w:r>
            <w:r>
              <w:rPr>
                <w:rFonts w:ascii="仿宋_GB2312" w:hAnsi="仿宋_GB2312" w:cs="仿宋_GB2312" w:eastAsia="仿宋_GB2312"/>
                <w:sz w:val="28"/>
              </w:rPr>
              <w:t>C1及以上。</w:t>
            </w:r>
          </w:p>
          <w:p>
            <w:pPr>
              <w:pStyle w:val="null3"/>
              <w:ind w:firstLine="560"/>
              <w:jc w:val="both"/>
            </w:pPr>
            <w:r>
              <w:rPr>
                <w:rFonts w:ascii="仿宋_GB2312" w:hAnsi="仿宋_GB2312" w:cs="仿宋_GB2312" w:eastAsia="仿宋_GB2312"/>
                <w:sz w:val="28"/>
              </w:rPr>
              <w:t>年龄要求：不超过</w:t>
            </w:r>
            <w:r>
              <w:rPr>
                <w:rFonts w:ascii="仿宋_GB2312" w:hAnsi="仿宋_GB2312" w:cs="仿宋_GB2312" w:eastAsia="仿宋_GB2312"/>
                <w:sz w:val="28"/>
              </w:rPr>
              <w:t>35周岁。持有A1准驾车型驾驶证者，年龄可放宽至50周岁。</w:t>
            </w:r>
          </w:p>
          <w:p>
            <w:pPr>
              <w:pStyle w:val="null3"/>
              <w:ind w:firstLine="560"/>
              <w:jc w:val="both"/>
            </w:pPr>
            <w:r>
              <w:rPr>
                <w:rFonts w:ascii="仿宋_GB2312" w:hAnsi="仿宋_GB2312" w:cs="仿宋_GB2312" w:eastAsia="仿宋_GB2312"/>
                <w:sz w:val="28"/>
              </w:rPr>
              <w:t>优先政策：退役军人优先，驾驶员中退役军人人数不少于</w:t>
            </w:r>
            <w:r>
              <w:rPr>
                <w:rFonts w:ascii="仿宋_GB2312" w:hAnsi="仿宋_GB2312" w:cs="仿宋_GB2312" w:eastAsia="仿宋_GB2312"/>
                <w:sz w:val="28"/>
              </w:rPr>
              <w:t>6人。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驾驶员要求： 政治面貌与品行：遵纪守法，无违法犯罪记录。 驾驶证要求：持有中华人民共和国机动车驾驶证，准驾车型为C1及以上。 年龄要求：不超过35周岁。持有A1准驾车型驾驶证者，年龄可放宽至50周岁。 优先政策：退役军人优先，驾驶员中退役军人人数不少于6人。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项目服务期为10个月：2026年3月1日至12月31日。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采购人制定地点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成交人向采购人提交验收申请。2.采购人收到验收申请后组织验收，验收时成交人应无条件予以配合并提供验收所需的全部资料，若成交人不配合或者未按合同要求提供服务的，采购人将拒绝验收。3.验收依据：磋商文件、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采购人根据使用情况按月据实结算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采购人根据使用情况按月据实结算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采购人根据使用情况按月据实结算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采购人根据使用情况按月据实结算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采购人根据使用情况按月据实结算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采购人根据使用情况按月据实结算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采购人根据使用情况按月据实结算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采购人根据使用情况按月据实结算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采购人根据使用情况按月据实结算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采购人根据使用情况按月据实结算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(1)按《中华人民共和国政府采购法》、《民法典》中的相关条款执行。 (2)未按合同或磋商文件要求提供产品或供应的产品质量不能满足采购人技术要求，采购单位有权终止合同，甚至对供应商违约行为进行追究。 (3)供货方的磋商响应文件为签订正式书面合同书不可分割的部分，供货方应履行相应的责任。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1、提供有效合格的统一社会信用代码的营业执照，其他组织经营的须提供合法凭证，自然人 的提供身份证明文件; 2、税收缴纳证明：提供 2025年7月1日至今任意一个月的纳税证明或完税证明，依法免税的单位应提供相关证明材料； 3、社会保障资金缴纳证明：提供2025年7月1日至今任意一个月的社会保障资金缴存单据或社保机构开具的社会保险参保缴费情况证明。（依法不需要缴纳社会保障资金的单位应提供相关证明材料）； 4、供应商不得为“信用中国”网站（w ww.creditchina.gov.cn）中列入失信被执行人和重大税收违法失信主体”，不得为中国政府采购网（www.ccgp.gov.cn）政府采购严重违法失信行为记录名单中被财政部门禁止参加政 府采购活动的供应商。 5、法定代表人授权委托书（附法定代表人身份证复印件）及被授权人身份证（法定代表人参加磋商时,只需提供法定代表人身份证）； 6、参加政府采购活动前三 年内，在经营活动中没有重大违法记录的书面声明； 7、具备履行合同所必须的设备和专业技术能力的书面声明；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商务响应说明书.docx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提供2024年度的财务审计报告（成立时间至提交磋商响应文件截止时间不足一年的，可提供成立后任意时段的资产负债表），或其基本存款账户开户银行出具的资信证明及基本存款账户信息。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3、《国务院办公厅关于建立政府强制采购节能产品制度的通 知》（国办发〔2007〕51号）； 4、《财政部环保总局关于环境标志产品政府采购实施的意见》（财库〔2006〕90号）； 5、《财政部国家发展改革委关于印发〈节能产品政府采购实施意见〉的通知》（财库〔2004〕185号）； 6、《财政部 民政部 中国残疾人联合会关于促进残疾人就业政府采购政策的通知》（财库〔2017〕141号）； 7、《财政部 发展改革委生态环境部 市场监管总局关于调整优化节能产品、环境标志产品政府采购执行机制的通知》 （财库〔2019〕9号）； 8、《关于印发环境标志产品政府采购品目清单的通知》（财库〔2019〕18号）； 9、《关于印发节能产品政府采购品目清单的通知》（财库〔2019〕19号）; 10、《财政部 农业农村部 国家乡村振兴局关于运用政府采购政策支持乡村产业振兴的通知》财库〔2021〕19号； 11、《陕西省财政厅关于印发陕西省中小企业政府采购信用融资办法》（陕财办采〔2018〕23号）； 12、《陕西省财政厅关于加快推进我省中小企业政府采 购信用融资工作的通知》（陕财办采〔2020〕15号）。 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分项报价表.docx 商务响应说明书.docx 类似项目业绩.docx 陕西省政府采购投标人拒绝政府采购领域商业贿赂承诺书.docx 残疾人福利性单位声明函 中小企业声明函 技术响应说明书.docx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磋商响应文件构成是否有重大缺项，是否按照 磋商文件要求的格式编写磋商响应文件。</w:t>
            </w:r>
          </w:p>
        </w:tc>
        <w:tc>
          <w:tcPr>
            <w:tcW w:type="dxa" w:w="1661"/>
          </w:tcPr>
          <w:p>
            <w:pPr>
              <w:pStyle w:val="null3"/>
            </w:pPr>
            <w:r>
              <w:rPr>
                <w:rFonts w:ascii="仿宋_GB2312" w:hAnsi="仿宋_GB2312" w:cs="仿宋_GB2312" w:eastAsia="仿宋_GB2312"/>
              </w:rPr>
              <w:t>响应文件封面 分项报价表.docx 商务响应说明书.docx 类似项目业绩.docx 陕西省政府采购投标人拒绝政府采购领域商业贿赂承诺书.docx 残疾人福利性单位声明函 中小企业声明函 技术响应说明书.docx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磋商响应文件的签署、加盖印章是否合格、有 效；提供的各种证明文件、数据、资料是否真 实、有效。</w:t>
            </w:r>
          </w:p>
        </w:tc>
        <w:tc>
          <w:tcPr>
            <w:tcW w:type="dxa" w:w="1661"/>
          </w:tcPr>
          <w:p>
            <w:pPr>
              <w:pStyle w:val="null3"/>
            </w:pPr>
            <w:r>
              <w:rPr>
                <w:rFonts w:ascii="仿宋_GB2312" w:hAnsi="仿宋_GB2312" w:cs="仿宋_GB2312" w:eastAsia="仿宋_GB2312"/>
              </w:rPr>
              <w:t>响应文件封面 分项报价表.docx 商务响应说明书.docx 类似项目业绩.docx 陕西省政府采购投标人拒绝政府采购领域商业贿赂承诺书.docx 残疾人福利性单位声明函 中小企业声明函 技术响应说明书.docx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本项目为专门面向中小企业项目，供应商应为 中型企业、小型企业、微型企业或监狱企业或 残疾人福利性单位。供应商应为中型企业、小 型企业、微型企业的，提供《中小企业声明函 》；本项目采购标的对应的中小企业划分标准 所属行业为：租赁和商务服务业；供应商 为监狱企业的，应提供监狱企业的证明文件； 供应商为残疾人福利性单位的，应提供《残疾 人福利性单位声明函》（监狱企业或残疾人福 利性单位视同小型、微型企业）。</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磋商报价是否超过项目采购预算</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针对本项目的整体服务方案，内容包含： 1.总体服务方案； 2.针对本项目的重难点分析及解决方案； 3.行车安全检查与隐患治理措施； 4.岗位培训考核方案（包括但不限于岗前培训、定期岗位培训、考核等）。 二、评审标准 提供的上述4项内容完整可行得20分；每有一项未提供扣5分；每有一处有缺陷扣1分。 （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供应商针对本项目的人员配备方案，包含： 1.人员配备清单； 2.岗位职责及分工； 3.管理、调度及应急人员配置； 4.拟配置驾驶员情况。 二、评审标准 提供的上述4项内容完整可行得20分；每有一项未提供扣5分；每有一处有缺陷扣1分。 （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 注：以上人员均须提供身份证、驾驶证（若有）、本单位社保或劳动合同,不提供不得分。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车辆情况</w:t>
            </w:r>
          </w:p>
        </w:tc>
        <w:tc>
          <w:tcPr>
            <w:tcW w:type="dxa" w:w="2492"/>
          </w:tcPr>
          <w:p>
            <w:pPr>
              <w:pStyle w:val="null3"/>
            </w:pPr>
            <w:r>
              <w:rPr>
                <w:rFonts w:ascii="仿宋_GB2312" w:hAnsi="仿宋_GB2312" w:cs="仿宋_GB2312" w:eastAsia="仿宋_GB2312"/>
              </w:rPr>
              <w:t>一、评审内容 供应商针对本项目的车辆配备情况，包含： 1.拟投入车辆数量、型号、车辆的合法来源证明材料及相关车况； 2.车辆保险：包括但不限于交强险、第三者责任险及承运人责任险等； 3.车辆设施配置：包括但不限于GPS全球卫星定位系统、车内监控、空调等； 4.车辆安全配置：包括但不限于防火设施、 医用急救箱、安全锤、清洁、消毒用品等。 二、评审标准 提供的上述4项内容完整可行得20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针对司机具有详细的管理制度： 1.岗位制度：包括但不限于岗位职责、服务标准、岗位制度、作业流程等； 2.内控制度：包括但不限于组织机构、内部管理制度、监督机制等； 3.人员管理制度：包含但不限于员工日常管理办法、请销假制度、奖惩措施、激励机制、仪容仪表制度行车礼仪培训制度等； 4.“三检”(出车前、行驶中、收车后)制度。 二、评审标准 提供的上述4项内容完整可行得20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针对本项目提供应急措施保障，内容包含： 1. 车辆行驶中突发故障、恶劣天气行驶、突发交通事故和突发交通管制等的应急预案； 2. 违法事件：防盗、打架斗殴、寻衅滋事的应急预案； 3.驾驶员应急人数及人员安排； 4.应急响应时效； 5.重要接待、重大活动、各类迎检工作的应急预案。 二、评审标准 提供的上述5项内容完整可行得5分；每有一项未提供扣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供应商提供2022年1月至今同类项目业绩，业绩以合同为依据，响应文件中附有其证明资料，每提供一个业绩证明计1分，满分5分。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2.满足磋商文件实质性要求且最终报价最低的供应商的价格为磋商基准价，其价格分为满分10分。 3.磋商报价得分=（磋商基准价/磋商报价）×10的公式计算得分。 4.磋商报价不完整的，不进入磋商标准价的计算，本项得0分。 5.经评委一致认定，供应商的磋商最终总报价低于公认市场成本，或超过采购预算,其磋商响应将被拒绝。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详见附件：陕西西咸新区人民检察院车辆租赁项目合同.docx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