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DFAAD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20" w:firstLineChars="2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4" w:name="_GoBack"/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拟签订的合同条款</w:t>
      </w:r>
    </w:p>
    <w:bookmarkEnd w:id="4"/>
    <w:p w14:paraId="0FA7DD49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2" w:firstLineChars="200"/>
        <w:jc w:val="center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bookmarkStart w:id="0" w:name="_Toc2345"/>
      <w:bookmarkStart w:id="1" w:name="_Toc3591"/>
      <w:bookmarkStart w:id="2" w:name="_Toc7987"/>
      <w:bookmarkStart w:id="3" w:name="_Toc3479853"/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</w:rPr>
        <w:t>（此合同样本仅供参考，合同具体细则以双方协定为准）</w:t>
      </w:r>
    </w:p>
    <w:p w14:paraId="66071F69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采购人（甲方）：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  <w:t xml:space="preserve"> 西安市市场监督管理局经开区分局 </w:t>
      </w:r>
    </w:p>
    <w:p w14:paraId="4D0A0E50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成交人（乙方）：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4FF03B2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西安市市场监督管理局经开区分局食堂食材采购及配送服务(项目编号：)，由陕西笃信招标有限公司组织竞争性磋商。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  <w:t xml:space="preserve"> 西安市市场监督管理局经开区分局 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(以下简称“甲方”)确定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  <w:t xml:space="preserve"> (成交单位名称) 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 xml:space="preserve">（以下简称“乙方”）为成交单位。 </w:t>
      </w:r>
    </w:p>
    <w:p w14:paraId="574E6628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依据《中华人民共和国民法典》和《中华人民共和国政府采购法》及相关法律法规的规定，甲方通过竞争性磋商采购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u w:val="single"/>
          <w:lang w:val="en-US" w:eastAsia="zh-CN"/>
        </w:rPr>
        <w:t xml:space="preserve"> 西安市市场监督管理局经开区分局食堂食材采购及配送服务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 xml:space="preserve">，甲、乙双方在平等自愿原则下签订本合同，并共同遵守如下条款： </w:t>
      </w:r>
    </w:p>
    <w:p w14:paraId="1EF5B12F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 xml:space="preserve">1.合同价款 </w:t>
      </w:r>
    </w:p>
    <w:p w14:paraId="0A8205E3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2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  <w:lang w:val="en-US" w:eastAsia="zh-CN"/>
        </w:rPr>
        <w:t xml:space="preserve">1.1 合同总价暂定为人民币叁拾叁万元整（¥330,000.00元）（本项目预算金额） </w:t>
      </w:r>
    </w:p>
    <w:p w14:paraId="041EF7BD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2" w:firstLineChars="200"/>
        <w:jc w:val="left"/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  <w:lang w:val="en-US" w:eastAsia="zh-CN"/>
        </w:rPr>
        <w:t>1.2 下浮率：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4"/>
          <w:szCs w:val="24"/>
          <w:highlight w:val="none"/>
          <w:lang w:val="en-US" w:eastAsia="zh-CN"/>
        </w:rPr>
        <w:t xml:space="preserve">%； </w:t>
      </w:r>
    </w:p>
    <w:p w14:paraId="76BD587D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 xml:space="preserve">最终成交下浮率，不受市场价变化或实际工作量变化的影响。合同价格为含税价，乙方提供食材所发生的一切税费（包括增值税）等都已包含于合同价款中。 </w:t>
      </w:r>
    </w:p>
    <w:p w14:paraId="4DE23708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 xml:space="preserve">2.服务期限、地点及服务内容 </w:t>
      </w:r>
    </w:p>
    <w:p w14:paraId="676933BC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2.1 服务期限：自合同签订之日起到2026年12月31日</w:t>
      </w:r>
    </w:p>
    <w:p w14:paraId="4CA262E2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2.2 服务地点：甲方指定地点</w:t>
      </w:r>
    </w:p>
    <w:p w14:paraId="4F1EE42F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2.3 下单方式：日常配送，甲方提前一天的18:00点前下单并通知乙方（按照乙方下单流程，准确填写相对应的内容及要求，以便乙方准确配送）。如遇特殊情况，需多次供货的，乙方应按照要求及时将所需餐料配送到位。</w:t>
      </w:r>
    </w:p>
    <w:p w14:paraId="4DF7B782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2.4 日常配送要求配送时间：下单后次日早7:30前</w:t>
      </w:r>
    </w:p>
    <w:p w14:paraId="4F27E629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default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2.5 供货类别：全品类蔬果菌菇、米面粮油、豆制品、牛羊肉禽、水产、冷冻食材、蛋类、奶制品、副食、调味料、干货、熟食、厨房用品等</w:t>
      </w:r>
    </w:p>
    <w:p w14:paraId="446464A9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3、付款方式：</w:t>
      </w:r>
    </w:p>
    <w:p w14:paraId="36B00D88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合同签订后，货款以双方确认后的销售单为依据据实结算，结款周期为按月度支付，即次月6日（节假日顺延）前核对上月全部的销售款项，对账完后于10 个工作日内甲方仅以银行转账的方式向乙方支付货款；甲方应在合同规定时间内将货款及时支付给乙方指定的账号，但因甲方财政预算指标批复导致的延期支付，甲方可延期延支付，且不视为违约，</w:t>
      </w:r>
      <w:r>
        <w:rPr>
          <w:rFonts w:hint="default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乙方在此情况下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应</w:t>
      </w:r>
      <w:r>
        <w:rPr>
          <w:rFonts w:hint="default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予以充分理解与配合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。</w:t>
      </w:r>
    </w:p>
    <w:p w14:paraId="7FBE6761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2" w:firstLineChars="200"/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highlight w:val="none"/>
          <w:lang w:val="en-US" w:eastAsia="zh-CN"/>
        </w:rPr>
        <w:t>结算价格：每月度采购人签字确认的供货单价格×（1-下浮率）；</w:t>
      </w:r>
    </w:p>
    <w:p w14:paraId="2E9033F8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2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highlight w:val="none"/>
          <w:lang w:val="en-US" w:eastAsia="zh-CN"/>
        </w:rPr>
        <w:t xml:space="preserve">甲方付款前，乙方需提供等额的正规发票。 </w:t>
      </w:r>
    </w:p>
    <w:p w14:paraId="41F36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乙方供应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所有原材料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价格不得高于经开区大型商超市场供货价，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在供货单基础价格上给予投标所报下浮率。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甲方每月不定期不限次考察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辖区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大型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商超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市场（华润万家超市、成山农场超市等大、中型商超市场）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并作价格比较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发现同等货物同等质量价格高于市场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价，甲方有权让乙方调整价格，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如果一次发现超实际供应价格供货将处以当月货款的10%罚款，二次发现将处以当月货款20%罚款，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连续发现两次以上或者累计发现三次以上甲方有权单方终止合同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甲方将把成交资格授予评审排序下一名的成交供应商。</w:t>
      </w:r>
    </w:p>
    <w:p w14:paraId="0FA3D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费用一次性包干，按合同执行。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不再承担其它任何费用，工作人员的装备、加班薪金、福利、休假日补贴、医疗费用、意外费用等均由投标人负责，与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无关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。</w:t>
      </w:r>
    </w:p>
    <w:p w14:paraId="4B762793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4.合同组成 </w:t>
      </w:r>
    </w:p>
    <w:p w14:paraId="6AD75F55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成交通知书、合同文件、竞争性磋商文件、磋商响应文件、国家相关规范及标准等。 </w:t>
      </w:r>
    </w:p>
    <w:p w14:paraId="12BCC277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5.质量保证 </w:t>
      </w:r>
    </w:p>
    <w:p w14:paraId="3D47736C">
      <w:pPr>
        <w:keepLines w:val="0"/>
        <w:pageBreakBefore w:val="0"/>
        <w:kinsoku/>
        <w:overflowPunct/>
        <w:topLinePunct w:val="0"/>
        <w:bidi w:val="0"/>
        <w:spacing w:line="500" w:lineRule="exact"/>
        <w:ind w:firstLine="480" w:firstLineChars="200"/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配送的食品应当符合《中华人民共和国产品质量法》和《中华人民共和国食品安全法》等相关法律法规规定的质量标准，未具体约定的应当符合国家食品安全要求的质量标准；没有国家标准的按照本省地方标准执行；无国家质量标准或本省地方标准的，按照通常标准或者符合合同目的的特定标准履行。不得提供腐败变质、油脂酸败、霉变、生虫、污秽不洁、混有异物或者其他感官性状异常、含有毒有害物质或者 被有毒有害物质污染，可能对人体健康有害的物品。 </w:t>
      </w:r>
    </w:p>
    <w:p w14:paraId="20843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6.验收 </w:t>
      </w:r>
    </w:p>
    <w:p w14:paraId="3B1FE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6.1 验收：乙方每次随货送上一式三份的供货清单及相关食材检验报告，甲方派专人接收、称重并验收食材质量后由甲方验收员签字确认，作为结算凭证。对不符合质量的品种，甲方有权退、换货。</w:t>
      </w:r>
    </w:p>
    <w:p w14:paraId="012A3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6.2 验收标准如下： </w:t>
      </w:r>
    </w:p>
    <w:p w14:paraId="372F1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（1）定型包装食品，应检验包装标识或者产品说明书是否标出品名、产地、厂名、生产日期、批号或者代号、规格、配方或者主要成份、保质期限、食用或者使用方法等，防止购进假冒伪劣产品，禁止“三无”产品进入食堂； </w:t>
      </w:r>
    </w:p>
    <w:p w14:paraId="7F564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（2）主要食材中的定型包装食品，如米面油类，供应商需要提供三证，即生产厂家的卫生许可证（若非从厂家直接采购的还需同时提供供货单位的卫生许可证）复印件；批次产品卫生主管部门的检验报告；送货人员的健康证明； </w:t>
      </w:r>
    </w:p>
    <w:p w14:paraId="2194B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（3）包装污秽不洁、严重破损、运输工具不洁等造成污染的产品不得验收通过； </w:t>
      </w:r>
    </w:p>
    <w:p w14:paraId="46F0B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（4）非定型包装的食材（或原材料）需进行感官检查：若发现腐败变质、油脂酸度、 霉变、生虫、不洁，混有异物或者其他感官性状异常现象，不得验收通过；未经卫生检验部门或者检验不合格的肉类及其制品不得验收通过；掺假、掺杂、伪造的食品不得验收通过。 </w:t>
      </w:r>
    </w:p>
    <w:p w14:paraId="753F360A">
      <w:pPr>
        <w:pStyle w:val="26"/>
        <w:keepLines w:val="0"/>
        <w:pageBreakBefore w:val="0"/>
        <w:kinsoku/>
        <w:overflowPunct/>
        <w:topLinePunct w:val="0"/>
        <w:bidi w:val="0"/>
        <w:spacing w:line="500" w:lineRule="exact"/>
        <w:ind w:firstLine="400"/>
        <w:jc w:val="both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24"/>
          <w:szCs w:val="24"/>
          <w:highlight w:val="none"/>
          <w:lang w:val="en-US" w:eastAsia="zh-CN" w:bidi="ar-SA"/>
        </w:rPr>
        <w:t>其他产品类如盆、盘、碗、筷、抹布、餐巾纸、洗洁精、保鲜膜、厨房用纸、垃圾袋等厨房用品若发现不符合国家对相关物品的质量、环保、技术和卫生要求，不得验收通过。</w:t>
      </w:r>
    </w:p>
    <w:p w14:paraId="68D4B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6.3 原材料没有按时按要求配送到位，影响甲方餐厅正常开餐的，以当日需求计划总量两倍价款赔付当日损失。验收不合格食材，有不符合要求的，一律退回，供应商无条件重新更换配送货物，乙方必须在接到通知后当日内提供新的货物，更换后仍然不符合标准的，甲方有权对供应商处以所更换货物价格两倍的罚款，甲方可提出索赔或取消与其签署的成交合同。采购代理机构将把成交资格授予评审排序下一名的成交供应商。 </w:t>
      </w:r>
    </w:p>
    <w:p w14:paraId="294D0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6.4 验收依据： </w:t>
      </w:r>
    </w:p>
    <w:p w14:paraId="37AB9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6.4.1 本合同文本及合同补充文件（若有）； </w:t>
      </w:r>
    </w:p>
    <w:p w14:paraId="427DC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6.4.2 竞争性磋商文件、乙方的竞争性磋商响应文件； </w:t>
      </w:r>
    </w:p>
    <w:p w14:paraId="5681D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6.4.3 国家或行业相应的标准、规范。 </w:t>
      </w:r>
    </w:p>
    <w:p w14:paraId="74019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7.其他事项 </w:t>
      </w:r>
    </w:p>
    <w:p w14:paraId="03129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7.1 乙方不得在服务期间对项目管理人员进行更换，如遇特殊情况须经甲方同意；甲方发现项目管理人员工作不力时，有权提出更换人员，更换的人员必须及时到场。 </w:t>
      </w:r>
    </w:p>
    <w:p w14:paraId="4701D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 xml:space="preserve">7.2 乙方不得将项目转让、分包给其它单位或个人。 </w:t>
      </w:r>
    </w:p>
    <w:p w14:paraId="4BCCB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highlight w:val="none"/>
          <w:lang w:val="en-US" w:eastAsia="zh-CN"/>
        </w:rPr>
        <w:t>8.甲方的权利和义务</w:t>
      </w:r>
    </w:p>
    <w:p w14:paraId="2940F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8.1 在乙方无违约的前提下，甲方委托乙方作为定点采购配送单位，承担本合同类的食堂原材料采购配送工作。 </w:t>
      </w:r>
    </w:p>
    <w:p w14:paraId="2E704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8.2 甲方有权监督乙方的原材料采购配送工作。 </w:t>
      </w:r>
    </w:p>
    <w:p w14:paraId="5FFC6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8.3 甲方对乙方所配送食材进行检查，发现过期，损坏等不合格食材，甲方有权拒收，以确保食材安全卫生。 </w:t>
      </w:r>
    </w:p>
    <w:p w14:paraId="7F3E2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8.4 甲方如有特殊情况，可提前微信图片或电话通知乙方临时增加食材配送工作，乙方应给予积极配合。 </w:t>
      </w:r>
    </w:p>
    <w:p w14:paraId="6A0FE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9.乙方的权利和义务 </w:t>
      </w:r>
    </w:p>
    <w:p w14:paraId="22B93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9.1 乙方须按本合同要求，保质保量完成甲方的原材料采购配送工作。 </w:t>
      </w:r>
    </w:p>
    <w:p w14:paraId="146E7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9.2 乙方应指派专人负责甲方原材料采购配送工作，及时收集甲方反馈意见；甲方指定专人检查接收配送产品，如发现不合格产品甲方有权要求乙方更换合格产品。 </w:t>
      </w:r>
    </w:p>
    <w:p w14:paraId="28E3C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9.3 乙方在配送过程中应做到安全有序，自觉遵守甲方各项安全管理规章制度。乙方为甲方唯一食材供应商，甲方私自采购食材而出现的食物中毒或其他食品安全事故，其后果由甲方承担。 </w:t>
      </w:r>
    </w:p>
    <w:p w14:paraId="42E24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9.4 乙方从甲方得到的采购信息，未经甲方同意，乙方不得向第三方公开，泄漏或使用。 </w:t>
      </w:r>
    </w:p>
    <w:p w14:paraId="7FD34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9.5 乙方配送食材原材料被食品监督部门检验不合格造成不良后果，由乙方承担全部责任，并承担全部经济损失。 </w:t>
      </w:r>
    </w:p>
    <w:p w14:paraId="1D4AC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9.6 食材供应发生群体食物中毒事故，经检验是乙方配送食材原因的，乙方承担相应事故责任，并承担全部经济损失。 </w:t>
      </w:r>
    </w:p>
    <w:p w14:paraId="7133A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10.违约责任 </w:t>
      </w:r>
    </w:p>
    <w:p w14:paraId="19E5E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10.1乙方送货质量问题给甲方造成损失的，由乙方承担全部责任。由于甲方保管原因造成的食品安全问题由甲方承担全部责任。 </w:t>
      </w:r>
    </w:p>
    <w:p w14:paraId="73EF4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10.2乙方违反合同职责约定，甲方有权要求乙方及时整改，如乙方整改后仍不能达到甲方要求，甲方有权终止合同。</w:t>
      </w:r>
    </w:p>
    <w:bookmarkEnd w:id="0"/>
    <w:bookmarkEnd w:id="1"/>
    <w:bookmarkEnd w:id="2"/>
    <w:bookmarkEnd w:id="3"/>
    <w:p w14:paraId="071C5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10.3任何一方要终止合同都应提前一月(即：30天)以书面方式通知对方。 </w:t>
      </w:r>
    </w:p>
    <w:p w14:paraId="2A0C6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10.4乙方严格按照甲方订单指定采购食材，如因甲方订单失误造成乙方采购货品错误，乙方不承担责任。 </w:t>
      </w:r>
    </w:p>
    <w:p w14:paraId="67510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11.合同争议解决的方式 </w:t>
      </w:r>
    </w:p>
    <w:p w14:paraId="67829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种方式解决： </w:t>
      </w:r>
    </w:p>
    <w:p w14:paraId="498FC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11.1提交西安仲裁委员会仲裁； </w:t>
      </w:r>
    </w:p>
    <w:p w14:paraId="289D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11.2依法向甲方所在地人民法院起诉。 </w:t>
      </w:r>
    </w:p>
    <w:p w14:paraId="3C2BC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12.合同生效 </w:t>
      </w:r>
    </w:p>
    <w:p w14:paraId="3E134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12.1本合同须经甲、乙双方的法定代表人（授权代理人）在合同书上签字并加盖本单位公章后正式生效。 </w:t>
      </w:r>
    </w:p>
    <w:p w14:paraId="2C3D5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12.2合同生效后，甲、乙双方须严格执行本合同条款的规定及本合同的约定，全面履行合同，违者按《中华人民共和国民法典》的有关规定承担相应责任。 </w:t>
      </w:r>
    </w:p>
    <w:p w14:paraId="6AB98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12.3本合同一式五份，甲方、乙方双方分别执二份，采购代理机构执一份。 </w:t>
      </w:r>
    </w:p>
    <w:p w14:paraId="2B803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 xml:space="preserve">12.4本合同如有未尽事宜，甲、乙双方协商解决，具体协商结果以双方最终达成的书面补充补充协议为准。 </w:t>
      </w:r>
    </w:p>
    <w:p w14:paraId="2C5DC22A">
      <w:pPr>
        <w:pStyle w:val="2"/>
        <w:rPr>
          <w:rFonts w:hint="eastAsia"/>
          <w:highlight w:val="none"/>
          <w:lang w:val="en-US" w:eastAsia="zh-CN"/>
        </w:rPr>
      </w:pPr>
    </w:p>
    <w:tbl>
      <w:tblPr>
        <w:tblStyle w:val="19"/>
        <w:tblW w:w="95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0"/>
        <w:gridCol w:w="4770"/>
      </w:tblGrid>
      <w:tr w14:paraId="4AAAB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  <w:jc w:val="center"/>
        </w:trPr>
        <w:tc>
          <w:tcPr>
            <w:tcW w:w="4770" w:type="dxa"/>
            <w:noWrap w:val="0"/>
            <w:vAlign w:val="top"/>
          </w:tcPr>
          <w:p w14:paraId="1243A919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甲方名称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1ECBB899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地址：</w:t>
            </w:r>
          </w:p>
          <w:p w14:paraId="411892F8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法定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代表人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/授权代理人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（签字或盖章）：</w:t>
            </w:r>
          </w:p>
          <w:p w14:paraId="02CF2DA0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电话：</w:t>
            </w:r>
          </w:p>
          <w:p w14:paraId="36992974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26277933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账号：</w:t>
            </w:r>
          </w:p>
        </w:tc>
        <w:tc>
          <w:tcPr>
            <w:tcW w:w="4770" w:type="dxa"/>
            <w:noWrap w:val="0"/>
            <w:vAlign w:val="top"/>
          </w:tcPr>
          <w:p w14:paraId="0FD06A62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乙方名称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kern w:val="0"/>
                <w:sz w:val="24"/>
                <w:szCs w:val="24"/>
                <w:highlight w:val="none"/>
              </w:rPr>
              <w:t>（盖章）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-20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193BC61C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地址：</w:t>
            </w:r>
          </w:p>
          <w:p w14:paraId="1A148C35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法定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代表人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/授权代理人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（签字或盖章）：</w:t>
            </w:r>
          </w:p>
          <w:p w14:paraId="03EAD081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电话：</w:t>
            </w:r>
          </w:p>
          <w:p w14:paraId="6C3AEF84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开户银行：</w:t>
            </w:r>
          </w:p>
          <w:p w14:paraId="307838DA">
            <w:pPr>
              <w:keepLines w:val="0"/>
              <w:pageBreakBefore w:val="0"/>
              <w:widowControl/>
              <w:kinsoku/>
              <w:overflowPunct/>
              <w:topLinePunct w:val="0"/>
              <w:autoSpaceDE w:val="0"/>
              <w:autoSpaceDN w:val="0"/>
              <w:bidi w:val="0"/>
              <w:snapToGrid w:val="0"/>
              <w:spacing w:line="500" w:lineRule="exact"/>
              <w:ind w:right="-154"/>
              <w:textAlignment w:val="bottom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账号：</w:t>
            </w:r>
          </w:p>
        </w:tc>
      </w:tr>
    </w:tbl>
    <w:p w14:paraId="06B8C639">
      <w:pPr>
        <w:keepLines w:val="0"/>
        <w:pageBreakBefore w:val="0"/>
        <w:kinsoku/>
        <w:overflowPunct/>
        <w:topLinePunct w:val="0"/>
        <w:bidi w:val="0"/>
        <w:spacing w:line="500" w:lineRule="exact"/>
        <w:rPr>
          <w:highlight w:val="none"/>
        </w:rPr>
      </w:pPr>
    </w:p>
    <w:p w14:paraId="03241AAB">
      <w:pPr>
        <w:pStyle w:val="2"/>
        <w:rPr>
          <w:rFonts w:hint="eastAsia"/>
          <w:highlight w:val="none"/>
          <w:lang w:val="en-US" w:eastAsia="zh-CN"/>
        </w:rPr>
      </w:pPr>
    </w:p>
    <w:p w14:paraId="180484DE">
      <w:pPr>
        <w:keepLines w:val="0"/>
        <w:pageBreakBefore w:val="0"/>
        <w:kinsoku/>
        <w:overflowPunct/>
        <w:topLinePunct w:val="0"/>
        <w:bidi w:val="0"/>
        <w:spacing w:line="500" w:lineRule="exact"/>
        <w:rPr>
          <w:highlight w:val="none"/>
        </w:rPr>
      </w:pPr>
    </w:p>
    <w:p w14:paraId="0941B772">
      <w:pPr>
        <w:pStyle w:val="26"/>
        <w:spacing w:line="360" w:lineRule="auto"/>
        <w:rPr>
          <w:rFonts w:hint="eastAsia" w:ascii="仿宋" w:hAnsi="仿宋" w:eastAsia="仿宋" w:cs="仿宋"/>
          <w:highlight w:val="none"/>
          <w:lang w:val="en-US" w:eastAsia="zh-Hans"/>
        </w:rPr>
      </w:pPr>
    </w:p>
    <w:p w14:paraId="1E12D65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0FDD4B16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9F56A6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4734B9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100C5A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6F43AF7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073240"/>
    <w:rsid w:val="7A98414F"/>
    <w:rsid w:val="7B296116"/>
    <w:rsid w:val="7B74438D"/>
    <w:rsid w:val="7BD90F3C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2"/>
    <w:next w:val="1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8">
    <w:name w:val="Body Text First Indent 2"/>
    <w:basedOn w:val="14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paragraph" w:customStyle="1" w:styleId="2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37BB329F12D34A7B80F7C58C6C97A7E8_13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