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版本号：ZCTH2026-03-00920260311001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承办市级比赛项目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ZCTH2026-03-009</w:t>
      </w:r>
      <w:r>
        <w:br/>
      </w:r>
      <w:r>
        <w:br/>
      </w:r>
      <w:r>
        <w:br/>
      </w:r>
    </w:p>
    <w:p>
      <w:pPr>
        <w:pStyle w:val="null3"/>
        <w:jc w:val="center"/>
        <w:outlineLvl w:val="2"/>
      </w:pPr>
      <w:r>
        <w:rPr>
          <w:rFonts w:ascii="仿宋_GB2312" w:hAnsi="仿宋_GB2312" w:cs="仿宋_GB2312" w:eastAsia="仿宋_GB2312"/>
          <w:sz w:val="28"/>
          <w:b/>
        </w:rPr>
        <w:t>西安市体育运动学校</w:t>
      </w:r>
    </w:p>
    <w:p>
      <w:pPr>
        <w:pStyle w:val="null3"/>
        <w:jc w:val="center"/>
        <w:outlineLvl w:val="2"/>
      </w:pPr>
      <w:r>
        <w:rPr>
          <w:rFonts w:ascii="仿宋_GB2312" w:hAnsi="仿宋_GB2312" w:cs="仿宋_GB2312" w:eastAsia="仿宋_GB2312"/>
          <w:sz w:val="28"/>
          <w:b/>
        </w:rPr>
        <w:t>陕西中诚天和项目管理有限公司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2026年03月11日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陕西中诚天和项目管理有限公司</w:t>
      </w:r>
      <w:r>
        <w:rPr>
          <w:rFonts w:ascii="仿宋_GB2312" w:hAnsi="仿宋_GB2312" w:cs="仿宋_GB2312" w:eastAsia="仿宋_GB2312"/>
        </w:rPr>
        <w:t>（以下简称“代理机构”）受</w:t>
      </w:r>
      <w:r>
        <w:rPr>
          <w:rFonts w:ascii="仿宋_GB2312" w:hAnsi="仿宋_GB2312" w:cs="仿宋_GB2312" w:eastAsia="仿宋_GB2312"/>
        </w:rPr>
        <w:t>西安市体育运动学校</w:t>
      </w:r>
      <w:r>
        <w:rPr>
          <w:rFonts w:ascii="仿宋_GB2312" w:hAnsi="仿宋_GB2312" w:cs="仿宋_GB2312" w:eastAsia="仿宋_GB2312"/>
        </w:rPr>
        <w:t>委托，拟对</w:t>
      </w:r>
      <w:r>
        <w:rPr>
          <w:rFonts w:ascii="仿宋_GB2312" w:hAnsi="仿宋_GB2312" w:cs="仿宋_GB2312" w:eastAsia="仿宋_GB2312"/>
        </w:rPr>
        <w:t>承办市级比赛项目</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ZCTH2026-03-009</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承办市级比赛项目</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承办市级比赛项目，包括为赛艇、皮划艇（静水）测功仪、拳击、跆拳道项目比赛提供全面的服务和支持，确保比赛顺利进行，供应商需提供包括但不限于比赛场地设施布置、器材准备、物料及宣传类制作、劳务发放、用餐安排、医疗救护、媒体报道宣传制作等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采购包1（承办市级比赛项目）：属于专门面向中小企业采购。</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1、营业执照：具有独立承担民事责任能力的法人、其他组织或自然人，提供合法有效的统一社会信用代码营业执照（事业单位提供法人证书，自然人提供身份证）</w:t>
      </w:r>
    </w:p>
    <w:p>
      <w:pPr>
        <w:pStyle w:val="null3"/>
      </w:pPr>
      <w:r>
        <w:rPr>
          <w:rFonts w:ascii="仿宋_GB2312" w:hAnsi="仿宋_GB2312" w:cs="仿宋_GB2312" w:eastAsia="仿宋_GB2312"/>
        </w:rPr>
        <w:t>2、法定代表人授权委托书：法定代表人参加投标的，须提供法定代表人身份证明；法定代表人授权他人参加投标的，须提供法定代表人授权委托书及被授权人身份证复印件</w:t>
      </w:r>
    </w:p>
    <w:p>
      <w:pPr>
        <w:pStyle w:val="null3"/>
      </w:pPr>
      <w:r>
        <w:rPr>
          <w:rFonts w:ascii="仿宋_GB2312" w:hAnsi="仿宋_GB2312" w:cs="仿宋_GB2312" w:eastAsia="仿宋_GB2312"/>
        </w:rPr>
        <w:t>3、财务状况报告：提供 2024或2025 年度经会计师事务所或审计机构审计的财务审报告或在开标时间前六个月内其基本开户银行出具的资信证明或财政部门认可的政府采购专业担保机构出具的投标担保函，以上形式的证明资料提供任何一种即可</w:t>
      </w:r>
    </w:p>
    <w:p>
      <w:pPr>
        <w:pStyle w:val="null3"/>
      </w:pPr>
      <w:r>
        <w:rPr>
          <w:rFonts w:ascii="仿宋_GB2312" w:hAnsi="仿宋_GB2312" w:cs="仿宋_GB2312" w:eastAsia="仿宋_GB2312"/>
        </w:rPr>
        <w:t>4、税收缴纳证明：提供投标文件截止时间前一年内至少一个月已缴纳的任意税种凭据；依法免税的投标人应提供相关文件证明</w:t>
      </w:r>
    </w:p>
    <w:p>
      <w:pPr>
        <w:pStyle w:val="null3"/>
      </w:pPr>
      <w:r>
        <w:rPr>
          <w:rFonts w:ascii="仿宋_GB2312" w:hAnsi="仿宋_GB2312" w:cs="仿宋_GB2312" w:eastAsia="仿宋_GB2312"/>
        </w:rPr>
        <w:t>5、社会保障资金缴纳证明：提供投标文件截止时间前一年内至少一个月已缴纳的社会保障资金的凭据（专用收据或社会保险缴纳清单）；依法不需要缴纳社会保障资金的投标人应提供相关文件证明</w:t>
      </w:r>
    </w:p>
    <w:p>
      <w:pPr>
        <w:pStyle w:val="null3"/>
      </w:pPr>
      <w:r>
        <w:rPr>
          <w:rFonts w:ascii="仿宋_GB2312" w:hAnsi="仿宋_GB2312" w:cs="仿宋_GB2312" w:eastAsia="仿宋_GB2312"/>
        </w:rPr>
        <w:t>6、书面承诺：提供具有履行本合同所必需的设备和专业技术能力的声明、参加采购活动前3年内在经营活动中没有重大违法记录的书面承诺</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西安市体育运动学校</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陕西省西安市灞桥区林泓路西安市体育训练中心保障楼9楼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710032</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西安市体育运动学校</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029-88060569</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陕西中诚天和项目管理有限公司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陕西省西安市高新区锦业一路52号宝德云谷国际-B座14层1406-6室</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党碧影</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029-81882499</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西安市财政局政府采购管理处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杜新星</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029-89821846</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采购包1：320,000.00元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缴交方式：否</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90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代理服务费收费标准：1.参照国家计委计价格[2002]1980号及发改办价格[2003]857号通知 规定，由中标单位支付采购代理服务费。 2.支付方式：中标人应在领取通知书的同时，向陕西中诚天和项目管理有限公司交纳本项目采购代理服务费。收款账户如下： 收款单位：陕西中诚天和项目管理有限公司； 开户银行：中国建设银行股份有限公司西安高新自贸区支行； 银行账号：61050110066700001164 。 注：代理服务费不足柒仟元整按柒仟元整收取</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西安市体育运动学校</w:t>
      </w:r>
      <w:r>
        <w:rPr>
          <w:rFonts w:ascii="仿宋_GB2312" w:hAnsi="仿宋_GB2312" w:cs="仿宋_GB2312" w:eastAsia="仿宋_GB2312"/>
        </w:rPr>
        <w:t>和</w:t>
      </w:r>
      <w:r>
        <w:rPr>
          <w:rFonts w:ascii="仿宋_GB2312" w:hAnsi="仿宋_GB2312" w:cs="仿宋_GB2312" w:eastAsia="仿宋_GB2312"/>
        </w:rPr>
        <w:t>陕西中诚天和项目管理有限公司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西安市体育运动学校</w:t>
      </w:r>
      <w:r>
        <w:rPr>
          <w:rFonts w:ascii="仿宋_GB2312" w:hAnsi="仿宋_GB2312" w:cs="仿宋_GB2312" w:eastAsia="仿宋_GB2312"/>
        </w:rPr>
        <w:t>负责解释。除上述磋商文件内容，其他内容由</w:t>
      </w:r>
      <w:r>
        <w:rPr>
          <w:rFonts w:ascii="仿宋_GB2312" w:hAnsi="仿宋_GB2312" w:cs="仿宋_GB2312" w:eastAsia="仿宋_GB2312"/>
        </w:rPr>
        <w:t>陕西中诚天和项目管理有限公司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西安市体育运动学校</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陕西中诚天和项目管理有限公司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供应商的响应文件进行验收，以满足采购人的实际需求为准。</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陕西中诚天和项目管理有限公司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联系人：冯妮</w:t>
      </w:r>
    </w:p>
    <w:p>
      <w:pPr>
        <w:pStyle w:val="null3"/>
      </w:pPr>
      <w:r>
        <w:rPr>
          <w:rFonts w:ascii="仿宋_GB2312" w:hAnsi="仿宋_GB2312" w:cs="仿宋_GB2312" w:eastAsia="仿宋_GB2312"/>
        </w:rPr>
        <w:t>联系电话：029-81882499</w:t>
      </w:r>
    </w:p>
    <w:p>
      <w:pPr>
        <w:pStyle w:val="null3"/>
      </w:pPr>
      <w:r>
        <w:rPr>
          <w:rFonts w:ascii="仿宋_GB2312" w:hAnsi="仿宋_GB2312" w:cs="仿宋_GB2312" w:eastAsia="仿宋_GB2312"/>
        </w:rPr>
        <w:t>地址：陕西省西安市高新区锦业一路52号宝德云谷国际B座14层1406-6室</w:t>
      </w:r>
    </w:p>
    <w:p>
      <w:pPr>
        <w:pStyle w:val="null3"/>
      </w:pPr>
      <w:r>
        <w:rPr>
          <w:rFonts w:ascii="仿宋_GB2312" w:hAnsi="仿宋_GB2312" w:cs="仿宋_GB2312" w:eastAsia="仿宋_GB2312"/>
        </w:rPr>
        <w:t>邮编：710000</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承办市级比赛项目，包括为赛艇、皮划艇（静水）测功仪、拳击、跆拳道项目比赛提供全面的服务和支持，确保比赛顺利进行，供应商需提供包括但不限于比赛场地设施布置、器材准备、物料及宣传类制作、劳务发放、用餐安排、医疗救护、媒体报道宣传制作等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320,000.00</w:t>
      </w:r>
    </w:p>
    <w:p>
      <w:pPr>
        <w:pStyle w:val="null3"/>
      </w:pPr>
      <w:r>
        <w:rPr>
          <w:rFonts w:ascii="仿宋_GB2312" w:hAnsi="仿宋_GB2312" w:cs="仿宋_GB2312" w:eastAsia="仿宋_GB2312"/>
        </w:rPr>
        <w:t>采购包最高限价（元）: 320,000.00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320000</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320,000.00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其他未列明行业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标的名称：320000</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36"/>
              <w:gridCol w:w="465"/>
              <w:gridCol w:w="282"/>
              <w:gridCol w:w="297"/>
              <w:gridCol w:w="351"/>
              <w:gridCol w:w="912"/>
            </w:tblGrid>
            <w:tr>
              <w:tc>
                <w:tcPr>
                  <w:tcW w:type="dxa" w:w="2543"/>
                  <w:gridSpan w:val="6"/>
                  <w:tcBorders>
                    <w:top w:val="singl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40"/>
                      <w:color w:val="000000"/>
                    </w:rPr>
                    <w:t>2026年西安市青少年跆拳道锦标赛</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序号</w:t>
                  </w:r>
                </w:p>
              </w:tc>
              <w:tc>
                <w:tcPr>
                  <w:tcW w:type="dxa" w:w="46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名称</w:t>
                  </w:r>
                </w:p>
              </w:tc>
              <w:tc>
                <w:tcPr>
                  <w:tcW w:type="dxa" w:w="2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9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35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比赛天数</w:t>
                  </w:r>
                </w:p>
              </w:tc>
              <w:tc>
                <w:tcPr>
                  <w:tcW w:type="dxa" w:w="9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具体要求</w:t>
                  </w:r>
                </w:p>
              </w:tc>
            </w:tr>
            <w:tr>
              <w:tc>
                <w:tcPr>
                  <w:tcW w:type="dxa" w:w="2543"/>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竞赛场地</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6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竞赛场地布置费</w:t>
                  </w:r>
                </w:p>
              </w:tc>
              <w:tc>
                <w:tcPr>
                  <w:tcW w:type="dxa" w:w="2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9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35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9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根据比赛要求布制</w:t>
                  </w:r>
                  <w:r>
                    <w:rPr>
                      <w:rFonts w:ascii="仿宋_GB2312" w:hAnsi="仿宋_GB2312" w:cs="仿宋_GB2312" w:eastAsia="仿宋_GB2312"/>
                      <w:sz w:val="24"/>
                      <w:color w:val="000000"/>
                    </w:rPr>
                    <w:t>2块竞赛场地标准12米*12米跆拳道竞赛场地，比赛结束后恢复场地</w:t>
                  </w:r>
                </w:p>
              </w:tc>
            </w:tr>
            <w:tr>
              <w:tc>
                <w:tcPr>
                  <w:tcW w:type="dxa" w:w="2543"/>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通用器材</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6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比赛用水</w:t>
                  </w:r>
                </w:p>
              </w:tc>
              <w:tc>
                <w:tcPr>
                  <w:tcW w:type="dxa" w:w="2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c>
                <w:tcPr>
                  <w:tcW w:type="dxa" w:w="29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35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9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秩序册</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册</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912"/>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秩序册、成绩册、分秩序册的封皮</w:t>
                  </w:r>
                  <w:r>
                    <w:rPr>
                      <w:rFonts w:ascii="仿宋_GB2312" w:hAnsi="仿宋_GB2312" w:cs="仿宋_GB2312" w:eastAsia="仿宋_GB2312"/>
                      <w:sz w:val="24"/>
                      <w:color w:val="000000"/>
                    </w:rPr>
                    <w:t>、底页及相关部分需铜版纸、彩页</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成绩册</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册</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912"/>
                  <w:vMerge/>
                  <w:tcBorders>
                    <w:top w:val="none" w:color="000000" w:sz="4"/>
                    <w:left w:val="none" w:color="000000" w:sz="4"/>
                    <w:bottom w:val="single" w:color="000000" w:sz="4"/>
                    <w:right w:val="single" w:color="000000" w:sz="4"/>
                  </w:tcBorders>
                </w:tcP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背景板</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租赁桌子</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双人折叠桌</w:t>
                  </w:r>
                  <w:r>
                    <w:rPr>
                      <w:rFonts w:ascii="仿宋_GB2312" w:hAnsi="仿宋_GB2312" w:cs="仿宋_GB2312" w:eastAsia="仿宋_GB2312"/>
                      <w:sz w:val="24"/>
                      <w:color w:val="000000"/>
                    </w:rPr>
                    <w:t>30张</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租赁椅子</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折叠椅子</w:t>
                  </w:r>
                  <w:r>
                    <w:rPr>
                      <w:rFonts w:ascii="仿宋_GB2312" w:hAnsi="仿宋_GB2312" w:cs="仿宋_GB2312" w:eastAsia="仿宋_GB2312"/>
                      <w:sz w:val="24"/>
                      <w:color w:val="000000"/>
                    </w:rPr>
                    <w:t>60把</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租赁笔记本电脑</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前台</w:t>
                  </w:r>
                  <w:r>
                    <w:rPr>
                      <w:rFonts w:ascii="仿宋_GB2312" w:hAnsi="仿宋_GB2312" w:cs="仿宋_GB2312" w:eastAsia="仿宋_GB2312"/>
                      <w:sz w:val="24"/>
                      <w:color w:val="000000"/>
                    </w:rPr>
                    <w:t>2台、后台2台、备用1台</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租赁喷墨打印机</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含打印纸</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租赁针式打印机</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含打印纸</w:t>
                  </w:r>
                </w:p>
              </w:tc>
            </w:tr>
            <w:tr>
              <w:tc>
                <w:tcPr>
                  <w:tcW w:type="dxa" w:w="2543"/>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竞赛专用及辅助器材</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6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租赁对讲机</w:t>
                  </w:r>
                </w:p>
              </w:tc>
              <w:tc>
                <w:tcPr>
                  <w:tcW w:type="dxa" w:w="2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9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5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租赁电子示分屏</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55寸及以上</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租赁电子护胸</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14</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0、1、2、3号（根据实际情况选择型号）</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租赁电子头盔</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S、M、L、XL号（根据实际情况选择型号）</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租赁电子脚套</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双</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XS、S、M、L、XL号（根据实际情况选择型号）</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租赁计时记分系统</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租赁解析仪</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台</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租赁打分器</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1套3个</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网络报名系统</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竞赛编排</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11</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竞赛耗材</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板夹、笔、电池、打印机硒鼓、场地胶带、裁判员用品等</w:t>
                  </w:r>
                </w:p>
              </w:tc>
            </w:tr>
            <w:tr>
              <w:tc>
                <w:tcPr>
                  <w:tcW w:type="dxa" w:w="236"/>
                  <w:vMerge w:val="restart"/>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12</w:t>
                  </w:r>
                </w:p>
              </w:tc>
              <w:tc>
                <w:tcPr>
                  <w:tcW w:type="dxa" w:w="465"/>
                  <w:vMerge w:val="restart"/>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参赛证</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200</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运动员</w:t>
                  </w:r>
                </w:p>
              </w:tc>
            </w:tr>
            <w:tr>
              <w:tc>
                <w:tcPr>
                  <w:tcW w:type="dxa" w:w="236"/>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领队、教练员</w:t>
                  </w:r>
                </w:p>
              </w:tc>
            </w:tr>
            <w:tr>
              <w:tc>
                <w:tcPr>
                  <w:tcW w:type="dxa" w:w="236"/>
                  <w:vMerge/>
                  <w:tcBorders>
                    <w:top w:val="none" w:color="000000" w:sz="4"/>
                    <w:left w:val="single" w:color="000000" w:sz="4"/>
                    <w:bottom w:val="single" w:color="000000" w:sz="4"/>
                    <w:right w:val="single" w:color="000000" w:sz="4"/>
                  </w:tcBorders>
                </w:tcPr>
                <w:p/>
              </w:tc>
              <w:tc>
                <w:tcPr>
                  <w:tcW w:type="dxa" w:w="465"/>
                  <w:vMerge/>
                  <w:tcBorders>
                    <w:top w:val="none" w:color="000000" w:sz="4"/>
                    <w:left w:val="none" w:color="000000" w:sz="4"/>
                    <w:bottom w:val="single" w:color="000000" w:sz="4"/>
                    <w:right w:val="single" w:color="000000" w:sz="4"/>
                  </w:tcBorders>
                </w:tcP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裁判员及工作人员</w:t>
                  </w:r>
                </w:p>
              </w:tc>
            </w:tr>
            <w:tr>
              <w:tc>
                <w:tcPr>
                  <w:tcW w:type="dxa" w:w="2543"/>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裁判员及工作人员</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副裁判长及以上（国家级及以上）</w:t>
                  </w:r>
                </w:p>
              </w:tc>
              <w:tc>
                <w:tcPr>
                  <w:tcW w:type="dxa" w:w="2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根据竞赛日程天数</w:t>
                  </w:r>
                  <w:r>
                    <w:rPr>
                      <w:rFonts w:ascii="仿宋_GB2312" w:hAnsi="仿宋_GB2312" w:cs="仿宋_GB2312" w:eastAsia="仿宋_GB2312"/>
                      <w:sz w:val="24"/>
                      <w:color w:val="000000"/>
                    </w:rPr>
                    <w:t>+报到赛前培训联调1天+赛后收纳器材及总结1天进行核算</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裁判员（二级及以上）</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根据竞赛日程天数</w:t>
                  </w:r>
                  <w:r>
                    <w:rPr>
                      <w:rFonts w:ascii="仿宋_GB2312" w:hAnsi="仿宋_GB2312" w:cs="仿宋_GB2312" w:eastAsia="仿宋_GB2312"/>
                      <w:sz w:val="24"/>
                      <w:color w:val="000000"/>
                    </w:rPr>
                    <w:t>+报到赛前培训联调1天+赛后收纳器材及总结1天进行核算</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编排记录</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根据竞赛日程天数</w:t>
                  </w:r>
                  <w:r>
                    <w:rPr>
                      <w:rFonts w:ascii="仿宋_GB2312" w:hAnsi="仿宋_GB2312" w:cs="仿宋_GB2312" w:eastAsia="仿宋_GB2312"/>
                      <w:sz w:val="24"/>
                      <w:color w:val="000000"/>
                    </w:rPr>
                    <w:t>+报到赛前培训联调1天+赛后收纳器材及总结1天进行核算</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志愿者</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根据竞赛日程天数</w:t>
                  </w:r>
                  <w:r>
                    <w:rPr>
                      <w:rFonts w:ascii="仿宋_GB2312" w:hAnsi="仿宋_GB2312" w:cs="仿宋_GB2312" w:eastAsia="仿宋_GB2312"/>
                      <w:sz w:val="24"/>
                      <w:color w:val="000000"/>
                    </w:rPr>
                    <w:t>+报到赛前培训联调1天+赛后收纳器材及总结1天进行核算</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工作人员</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351"/>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12"/>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根据竞赛日程天数</w:t>
                  </w:r>
                  <w:r>
                    <w:rPr>
                      <w:rFonts w:ascii="仿宋_GB2312" w:hAnsi="仿宋_GB2312" w:cs="仿宋_GB2312" w:eastAsia="仿宋_GB2312"/>
                      <w:sz w:val="24"/>
                      <w:color w:val="000000"/>
                    </w:rPr>
                    <w:t>+报到赛前培训联调1天+赛后收纳器材及总结1天进行核算</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安保人员</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按实际天数结算</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7</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保洁人员</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按实际天数结算</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w:t>
                  </w:r>
                </w:p>
              </w:tc>
              <w:tc>
                <w:tcPr>
                  <w:tcW w:type="dxa" w:w="46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救护车</w:t>
                  </w:r>
                </w:p>
              </w:tc>
              <w:tc>
                <w:tcPr>
                  <w:tcW w:type="dxa" w:w="28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97"/>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辆</w:t>
                  </w:r>
                </w:p>
              </w:tc>
              <w:tc>
                <w:tcPr>
                  <w:tcW w:type="dxa" w:w="351"/>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12"/>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每辆救护车须配备司机、医生、护士各</w:t>
                  </w:r>
                  <w:r>
                    <w:rPr>
                      <w:rFonts w:ascii="仿宋_GB2312" w:hAnsi="仿宋_GB2312" w:cs="仿宋_GB2312" w:eastAsia="仿宋_GB2312"/>
                      <w:sz w:val="24"/>
                      <w:color w:val="000000"/>
                    </w:rPr>
                    <w:t>1名</w:t>
                  </w:r>
                </w:p>
              </w:tc>
            </w:tr>
            <w:tr>
              <w:tc>
                <w:tcPr>
                  <w:tcW w:type="dxa" w:w="2543"/>
                  <w:gridSpan w:val="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服装</w:t>
                  </w:r>
                </w:p>
              </w:tc>
            </w:tr>
            <w:tr>
              <w:tc>
                <w:tcPr>
                  <w:tcW w:type="dxa" w:w="236"/>
                  <w:tcBorders>
                    <w:top w:val="none" w:color="000000" w:sz="4"/>
                    <w:left w:val="singl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6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全体裁判员服装</w:t>
                  </w:r>
                </w:p>
              </w:tc>
              <w:tc>
                <w:tcPr>
                  <w:tcW w:type="dxa" w:w="28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297"/>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351"/>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912"/>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30套，以实际情况为准，（短T聚酯纤维、），服装不退回归裁判员所有</w:t>
                  </w:r>
                </w:p>
              </w:tc>
            </w:tr>
            <w:tr>
              <w:tc>
                <w:tcPr>
                  <w:tcW w:type="dxa" w:w="254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用餐</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餐费</w:t>
                  </w:r>
                </w:p>
              </w:tc>
              <w:tc>
                <w:tcPr>
                  <w:tcW w:type="dxa" w:w="2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约</w:t>
                  </w:r>
                  <w:r>
                    <w:rPr>
                      <w:rFonts w:ascii="仿宋_GB2312" w:hAnsi="仿宋_GB2312" w:cs="仿宋_GB2312" w:eastAsia="仿宋_GB2312"/>
                      <w:sz w:val="24"/>
                      <w:color w:val="000000"/>
                    </w:rPr>
                    <w:t>80人，具体以实际情况为准。涉赛人员午餐，午餐1荤（大荤）两素，含主食，水果或酸奶，按实际竞赛日程</w:t>
                  </w:r>
                </w:p>
              </w:tc>
            </w:tr>
            <w:tr>
              <w:tc>
                <w:tcPr>
                  <w:tcW w:type="dxa" w:w="2543"/>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媒体宣传</w:t>
                  </w:r>
                </w:p>
              </w:tc>
            </w:tr>
            <w:tr>
              <w:tc>
                <w:tcPr>
                  <w:tcW w:type="dxa" w:w="23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6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媒体宣传</w:t>
                  </w:r>
                </w:p>
              </w:tc>
              <w:tc>
                <w:tcPr>
                  <w:tcW w:type="dxa" w:w="28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97"/>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351"/>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912"/>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赛事宣传</w:t>
                  </w:r>
                </w:p>
              </w:tc>
            </w:tr>
          </w:tbl>
          <w:p/>
        </w:tc>
      </w:tr>
      <w:tr>
        <w:tc>
          <w:tcPr>
            <w:tcW w:type="dxa" w:w="2769"/>
          </w:tcPr>
          <w:p>
            <w:pPr>
              <w:pStyle w:val="null3"/>
            </w:pPr>
            <w:r>
              <w:rPr>
                <w:rFonts w:ascii="仿宋_GB2312" w:hAnsi="仿宋_GB2312" w:cs="仿宋_GB2312" w:eastAsia="仿宋_GB2312"/>
              </w:rPr>
              <w:t>2</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225"/>
              <w:gridCol w:w="489"/>
              <w:gridCol w:w="264"/>
              <w:gridCol w:w="275"/>
              <w:gridCol w:w="310"/>
              <w:gridCol w:w="976"/>
            </w:tblGrid>
            <w:tr>
              <w:tc>
                <w:tcPr>
                  <w:tcW w:type="dxa" w:w="2539"/>
                  <w:gridSpan w:val="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0"/>
                      <w:color w:val="000000"/>
                    </w:rPr>
                    <w:t>2026年西安市青少年拳击锦标赛</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序号</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名称</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数量</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单位</w:t>
                  </w:r>
                </w:p>
              </w:tc>
              <w:tc>
                <w:tcPr>
                  <w:tcW w:type="dxa" w:w="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比赛天数</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具体要求</w:t>
                  </w:r>
                </w:p>
              </w:tc>
            </w:tr>
            <w:tr>
              <w:tc>
                <w:tcPr>
                  <w:tcW w:type="dxa" w:w="253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竞赛编排</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竞赛编排</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适用于省级及以上比赛的电子编排系统</w:t>
                  </w:r>
                </w:p>
              </w:tc>
            </w:tr>
            <w:tr>
              <w:tc>
                <w:tcPr>
                  <w:tcW w:type="dxa" w:w="253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通用器材</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比赛用水</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500</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瓶</w:t>
                  </w:r>
                </w:p>
              </w:tc>
              <w:tc>
                <w:tcPr>
                  <w:tcW w:type="dxa" w:w="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秩序册</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册</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976"/>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秩序册、成绩册、分秩序册的封皮</w:t>
                  </w:r>
                  <w:r>
                    <w:rPr>
                      <w:rFonts w:ascii="仿宋_GB2312" w:hAnsi="仿宋_GB2312" w:cs="仿宋_GB2312" w:eastAsia="仿宋_GB2312"/>
                      <w:sz w:val="22"/>
                      <w:color w:val="000000"/>
                    </w:rPr>
                    <w:t>、底页及相关部分需铜版纸、彩页</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成绩册</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册</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976"/>
                  <w:vMerge/>
                  <w:tcBorders>
                    <w:top w:val="none" w:color="000000" w:sz="4"/>
                    <w:left w:val="none" w:color="000000" w:sz="4"/>
                    <w:bottom w:val="single" w:color="000000" w:sz="4"/>
                    <w:right w:val="single" w:color="000000" w:sz="4"/>
                  </w:tcBorders>
                </w:tcP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主背景</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租赁桌子</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张</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双人折叠桌</w:t>
                  </w:r>
                  <w:r>
                    <w:rPr>
                      <w:rFonts w:ascii="仿宋_GB2312" w:hAnsi="仿宋_GB2312" w:cs="仿宋_GB2312" w:eastAsia="仿宋_GB2312"/>
                      <w:sz w:val="22"/>
                      <w:color w:val="000000"/>
                    </w:rPr>
                    <w:t>40张</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租赁椅子</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把</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折叠椅子</w:t>
                  </w:r>
                  <w:r>
                    <w:rPr>
                      <w:rFonts w:ascii="仿宋_GB2312" w:hAnsi="仿宋_GB2312" w:cs="仿宋_GB2312" w:eastAsia="仿宋_GB2312"/>
                      <w:sz w:val="22"/>
                      <w:color w:val="000000"/>
                    </w:rPr>
                    <w:t>80把</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租赁电视机</w:t>
                  </w:r>
                  <w:r>
                    <w:br/>
                  </w:r>
                  <w:r>
                    <w:rPr>
                      <w:rFonts w:ascii="仿宋_GB2312" w:hAnsi="仿宋_GB2312" w:cs="仿宋_GB2312" w:eastAsia="仿宋_GB2312"/>
                      <w:sz w:val="22"/>
                      <w:color w:val="000000"/>
                    </w:rPr>
                    <w:t>（含移动支架）</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租赁笔记本电脑</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9</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租赁打印机</w:t>
                  </w:r>
                  <w:r>
                    <w:br/>
                  </w:r>
                  <w:r>
                    <w:rPr>
                      <w:rFonts w:ascii="仿宋_GB2312" w:hAnsi="仿宋_GB2312" w:cs="仿宋_GB2312" w:eastAsia="仿宋_GB2312"/>
                      <w:sz w:val="22"/>
                      <w:color w:val="000000"/>
                    </w:rPr>
                    <w:t>（含打印纸）</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台</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一台针式打印机打证书，一台激光打印机</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租赁对讲机</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10</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辅助器材</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抽签桶、中性笔（红、蓝、黑色</w:t>
                  </w:r>
                  <w:r>
                    <w:rPr>
                      <w:rFonts w:ascii="仿宋_GB2312" w:hAnsi="仿宋_GB2312" w:cs="仿宋_GB2312" w:eastAsia="仿宋_GB2312"/>
                      <w:sz w:val="22"/>
                      <w:color w:val="000000"/>
                    </w:rPr>
                    <w:t>）、油性签字笔、</w:t>
                  </w:r>
                  <w:r>
                    <w:rPr>
                      <w:rFonts w:ascii="仿宋_GB2312" w:hAnsi="仿宋_GB2312" w:cs="仿宋_GB2312" w:eastAsia="仿宋_GB2312"/>
                      <w:sz w:val="22"/>
                      <w:color w:val="000000"/>
                    </w:rPr>
                    <w:t>铅笔及红蓝铅笔、涂改液；钉书器；剪刀、裁纸刀等、尺子（大中小）；双面胶纸、不干胶棒；信封若干；橡皮筋若干。</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12</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白胶布</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卷</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53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竞赛专用及辅助器材</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8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租赁电子打分系统</w:t>
                  </w:r>
                </w:p>
              </w:tc>
              <w:tc>
                <w:tcPr>
                  <w:tcW w:type="dxa" w:w="26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项</w:t>
                  </w:r>
                </w:p>
              </w:tc>
              <w:tc>
                <w:tcPr>
                  <w:tcW w:type="dxa" w:w="31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7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1.1 实时采集五名裁判的打分情况并记录采集时间。</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租赁摄像机</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架</w:t>
                  </w:r>
                </w:p>
              </w:tc>
              <w:tc>
                <w:tcPr>
                  <w:tcW w:type="dxa" w:w="3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含备用电池</w:t>
                  </w:r>
                  <w:r>
                    <w:rPr>
                      <w:rFonts w:ascii="仿宋_GB2312" w:hAnsi="仿宋_GB2312" w:cs="仿宋_GB2312" w:eastAsia="仿宋_GB2312"/>
                      <w:sz w:val="22"/>
                      <w:color w:val="000000"/>
                    </w:rPr>
                    <w:t>4块、备用摄像机1架</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拳击手套</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双</w:t>
                  </w:r>
                </w:p>
              </w:tc>
              <w:tc>
                <w:tcPr>
                  <w:tcW w:type="dxa" w:w="3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大小号及颜色根据比赛要求配置</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拳击头盔</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大小号及颜色根据比赛要求配置</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竞赛器材</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套</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计时用秒表；锣锤；倒计时</w:t>
                  </w:r>
                  <w:r>
                    <w:rPr>
                      <w:rFonts w:ascii="仿宋_GB2312" w:hAnsi="仿宋_GB2312" w:cs="仿宋_GB2312" w:eastAsia="仿宋_GB2312"/>
                      <w:sz w:val="22"/>
                      <w:color w:val="000000"/>
                    </w:rPr>
                    <w:t>10 秒敲击惊堂 木 2 个；双音哨和铃；5CM 宽红、蓝胶带 、OK 章 4 个、红印泥和蓝印泥 ；制冰机、红蓝白仲裁宣告胜负牌各（可用木板或乒乓球拍制作）；</w:t>
                  </w:r>
                </w:p>
              </w:tc>
            </w:tr>
            <w:tr>
              <w:tc>
                <w:tcPr>
                  <w:tcW w:type="dxa" w:w="225"/>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89"/>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工作证件</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运动员</w:t>
                  </w:r>
                </w:p>
              </w:tc>
            </w:tr>
            <w:tr>
              <w:tc>
                <w:tcPr>
                  <w:tcW w:type="dxa" w:w="225"/>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领队、教练员</w:t>
                  </w:r>
                </w:p>
              </w:tc>
            </w:tr>
            <w:tr>
              <w:tc>
                <w:tcPr>
                  <w:tcW w:type="dxa" w:w="225"/>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裁判员、嘉宾</w:t>
                  </w:r>
                </w:p>
              </w:tc>
            </w:tr>
            <w:tr>
              <w:tc>
                <w:tcPr>
                  <w:tcW w:type="dxa" w:w="225"/>
                  <w:vMerge/>
                  <w:tcBorders>
                    <w:top w:val="none" w:color="000000" w:sz="4"/>
                    <w:left w:val="single" w:color="000000" w:sz="4"/>
                    <w:bottom w:val="single" w:color="000000" w:sz="4"/>
                    <w:right w:val="single" w:color="000000" w:sz="4"/>
                  </w:tcBorders>
                </w:tcPr>
                <w:p/>
              </w:tc>
              <w:tc>
                <w:tcPr>
                  <w:tcW w:type="dxa" w:w="489"/>
                  <w:vMerge/>
                  <w:tcBorders>
                    <w:top w:val="none" w:color="000000" w:sz="4"/>
                    <w:left w:val="none" w:color="000000" w:sz="4"/>
                    <w:bottom w:val="single" w:color="000000" w:sz="4"/>
                    <w:right w:val="single" w:color="000000" w:sz="4"/>
                  </w:tcBorders>
                </w:tcP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工作人员、志愿者等</w:t>
                  </w:r>
                </w:p>
              </w:tc>
            </w:tr>
            <w:tr>
              <w:tc>
                <w:tcPr>
                  <w:tcW w:type="dxa" w:w="253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人员</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裁判长</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c>
                <w:tcPr>
                  <w:tcW w:type="dxa" w:w="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根据竞赛日程天数</w:t>
                  </w:r>
                  <w:r>
                    <w:rPr>
                      <w:rFonts w:ascii="仿宋_GB2312" w:hAnsi="仿宋_GB2312" w:cs="仿宋_GB2312" w:eastAsia="仿宋_GB2312"/>
                      <w:sz w:val="22"/>
                      <w:color w:val="000000"/>
                    </w:rPr>
                    <w:t>+报到赛前培训联调1天+赛后收纳器材及总结1天进行核算</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裁判员</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25</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根据竞赛日程天数</w:t>
                  </w:r>
                  <w:r>
                    <w:rPr>
                      <w:rFonts w:ascii="仿宋_GB2312" w:hAnsi="仿宋_GB2312" w:cs="仿宋_GB2312" w:eastAsia="仿宋_GB2312"/>
                      <w:sz w:val="22"/>
                      <w:color w:val="000000"/>
                    </w:rPr>
                    <w:t>+报到赛前培训联调1天+赛后收纳器材及总结1天进行核算</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3</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工作人员</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工作人员、安保人员、保洁人员等</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志愿者</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c>
                <w:tcPr>
                  <w:tcW w:type="dxa" w:w="3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4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安保人员</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3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按实际天数结算</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6</w:t>
                  </w:r>
                </w:p>
              </w:tc>
              <w:tc>
                <w:tcPr>
                  <w:tcW w:type="dxa" w:w="489"/>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保洁人员</w:t>
                  </w:r>
                </w:p>
              </w:tc>
              <w:tc>
                <w:tcPr>
                  <w:tcW w:type="dxa" w:w="264"/>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w:t>
                  </w:r>
                </w:p>
              </w:tc>
              <w:tc>
                <w:tcPr>
                  <w:tcW w:type="dxa" w:w="275"/>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310"/>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976"/>
                  <w:tcBorders>
                    <w:top w:val="non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按实际天数结算</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7</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救护车</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辆</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每辆救护车须配备司机、医生、护士各</w:t>
                  </w:r>
                  <w:r>
                    <w:rPr>
                      <w:rFonts w:ascii="仿宋_GB2312" w:hAnsi="仿宋_GB2312" w:cs="仿宋_GB2312" w:eastAsia="仿宋_GB2312"/>
                      <w:sz w:val="22"/>
                      <w:color w:val="000000"/>
                    </w:rPr>
                    <w:t>1名</w:t>
                  </w:r>
                </w:p>
              </w:tc>
            </w:tr>
            <w:tr>
              <w:tc>
                <w:tcPr>
                  <w:tcW w:type="dxa" w:w="253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住宿</w:t>
                  </w:r>
                  <w:r>
                    <w:rPr>
                      <w:rFonts w:ascii="仿宋_GB2312" w:hAnsi="仿宋_GB2312" w:cs="仿宋_GB2312" w:eastAsia="仿宋_GB2312"/>
                      <w:sz w:val="22"/>
                      <w:b/>
                      <w:color w:val="000000"/>
                    </w:rPr>
                    <w:t>/用餐</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89"/>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称重裁判员住宿</w:t>
                  </w:r>
                </w:p>
              </w:tc>
              <w:tc>
                <w:tcPr>
                  <w:tcW w:type="dxa" w:w="264"/>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5</w:t>
                  </w:r>
                </w:p>
              </w:tc>
              <w:tc>
                <w:tcPr>
                  <w:tcW w:type="dxa" w:w="275"/>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间</w:t>
                  </w:r>
                </w:p>
              </w:tc>
              <w:tc>
                <w:tcPr>
                  <w:tcW w:type="dxa" w:w="310"/>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76"/>
                  <w:tcBorders>
                    <w:top w:val="single" w:color="000000" w:sz="4"/>
                    <w:left w:val="none" w:color="000000" w:sz="4"/>
                    <w:bottom w:val="single" w:color="000000" w:sz="4"/>
                    <w:right w:val="single" w:color="000000" w:sz="4"/>
                  </w:tcBorders>
                  <w:shd w:fill="FFFFFF"/>
                  <w:tcMar>
                    <w:top w:type="dxa" w:w="0"/>
                    <w:left w:type="dxa" w:w="105"/>
                    <w:bottom w:type="dxa" w:w="0"/>
                    <w:right w:type="dxa" w:w="105"/>
                  </w:tcMar>
                  <w:vAlign w:val="top"/>
                </w:tcPr>
                <w:p>
                  <w:pPr>
                    <w:pStyle w:val="null3"/>
                    <w:jc w:val="center"/>
                  </w:pP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2</w:t>
                  </w:r>
                </w:p>
              </w:tc>
              <w:tc>
                <w:tcPr>
                  <w:tcW w:type="dxa" w:w="48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用餐</w:t>
                  </w:r>
                </w:p>
              </w:tc>
              <w:tc>
                <w:tcPr>
                  <w:tcW w:type="dxa" w:w="264"/>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80</w:t>
                  </w:r>
                </w:p>
              </w:tc>
              <w:tc>
                <w:tcPr>
                  <w:tcW w:type="dxa" w:w="27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人</w:t>
                  </w:r>
                </w:p>
              </w:tc>
              <w:tc>
                <w:tcPr>
                  <w:tcW w:type="dxa" w:w="310"/>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4</w:t>
                  </w:r>
                </w:p>
              </w:tc>
              <w:tc>
                <w:tcPr>
                  <w:tcW w:type="dxa" w:w="976"/>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约</w:t>
                  </w:r>
                  <w:r>
                    <w:rPr>
                      <w:rFonts w:ascii="仿宋_GB2312" w:hAnsi="仿宋_GB2312" w:cs="仿宋_GB2312" w:eastAsia="仿宋_GB2312"/>
                      <w:sz w:val="22"/>
                      <w:color w:val="000000"/>
                    </w:rPr>
                    <w:t>80人，具体以实际情况为准。涉赛人员午餐、晚餐。每餐两荤两素，含主食，水果或酸奶。</w:t>
                  </w:r>
                </w:p>
              </w:tc>
            </w:tr>
            <w:tr>
              <w:tc>
                <w:tcPr>
                  <w:tcW w:type="dxa" w:w="2539"/>
                  <w:gridSpan w:val="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b/>
                      <w:color w:val="000000"/>
                    </w:rPr>
                    <w:t>赛事宣传</w:t>
                  </w:r>
                </w:p>
              </w:tc>
            </w:tr>
            <w:tr>
              <w:tc>
                <w:tcPr>
                  <w:tcW w:type="dxa" w:w="225"/>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48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媒体宣传</w:t>
                  </w:r>
                </w:p>
              </w:tc>
              <w:tc>
                <w:tcPr>
                  <w:tcW w:type="dxa" w:w="264"/>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1</w:t>
                  </w:r>
                </w:p>
              </w:tc>
              <w:tc>
                <w:tcPr>
                  <w:tcW w:type="dxa" w:w="27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个</w:t>
                  </w:r>
                </w:p>
              </w:tc>
              <w:tc>
                <w:tcPr>
                  <w:tcW w:type="dxa" w:w="310"/>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w:t>
                  </w:r>
                </w:p>
              </w:tc>
              <w:tc>
                <w:tcPr>
                  <w:tcW w:type="dxa" w:w="976"/>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2"/>
                      <w:color w:val="000000"/>
                    </w:rPr>
                    <w:t>赛事宣传</w:t>
                  </w:r>
                </w:p>
              </w:tc>
            </w:tr>
          </w:tbl>
          <w:p/>
        </w:tc>
      </w:tr>
      <w:tr>
        <w:tc>
          <w:tcPr>
            <w:tcW w:type="dxa" w:w="2769"/>
          </w:tcPr>
          <w:p>
            <w:pPr>
              <w:pStyle w:val="null3"/>
            </w:pPr>
            <w:r>
              <w:rPr>
                <w:rFonts w:ascii="仿宋_GB2312" w:hAnsi="仿宋_GB2312" w:cs="仿宋_GB2312" w:eastAsia="仿宋_GB2312"/>
              </w:rPr>
              <w:t>3</w:t>
            </w:r>
          </w:p>
        </w:tc>
        <w:tc>
          <w:tcPr>
            <w:tcW w:type="dxa" w:w="2769"/>
          </w:tcPr>
          <w:p/>
        </w:tc>
        <w:tc>
          <w:tcPr>
            <w:tcW w:type="dxa" w:w="2769"/>
          </w:tcPr>
          <w:tbl>
            <w:tblPr>
              <w:tblBorders>
                <w:top w:val="none" w:color="000000" w:sz="4"/>
                <w:left w:val="none" w:color="000000" w:sz="4"/>
                <w:bottom w:val="none" w:color="000000" w:sz="4"/>
                <w:right w:val="none" w:color="000000" w:sz="4"/>
                <w:insideH w:val="none"/>
                <w:insideV w:val="none"/>
              </w:tblBorders>
            </w:tblPr>
            <w:tblGrid>
              <w:gridCol w:w="431"/>
              <w:gridCol w:w="553"/>
              <w:gridCol w:w="469"/>
              <w:gridCol w:w="213"/>
              <w:gridCol w:w="213"/>
              <w:gridCol w:w="255"/>
              <w:gridCol w:w="408"/>
            </w:tblGrid>
            <w:tr>
              <w:tc>
                <w:tcPr>
                  <w:tcW w:type="dxa" w:w="2542"/>
                  <w:gridSpan w:val="7"/>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40"/>
                      <w:color w:val="000000"/>
                    </w:rPr>
                    <w:t>2026年西安市青少年赛艇、皮划艇（静水）测功仪锦标赛</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类别</w:t>
                  </w:r>
                </w:p>
              </w:tc>
              <w:tc>
                <w:tcPr>
                  <w:tcW w:type="dxa" w:w="55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内容</w:t>
                  </w:r>
                </w:p>
              </w:tc>
              <w:tc>
                <w:tcPr>
                  <w:tcW w:type="dxa" w:w="469"/>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规格</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数量</w:t>
                  </w:r>
                </w:p>
              </w:tc>
              <w:tc>
                <w:tcPr>
                  <w:tcW w:type="dxa" w:w="213"/>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单位</w:t>
                  </w:r>
                </w:p>
              </w:tc>
              <w:tc>
                <w:tcPr>
                  <w:tcW w:type="dxa" w:w="255"/>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比赛天数</w:t>
                  </w:r>
                </w:p>
              </w:tc>
              <w:tc>
                <w:tcPr>
                  <w:tcW w:type="dxa" w:w="408"/>
                  <w:tcBorders>
                    <w:top w:val="singl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color w:val="000000"/>
                    </w:rPr>
                    <w:t>备注</w:t>
                  </w:r>
                </w:p>
              </w:tc>
            </w:tr>
            <w:tr>
              <w:tc>
                <w:tcPr>
                  <w:tcW w:type="dxa" w:w="43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比赛器材</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竞赛编排</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电子系统</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场地搭建及其布置费</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桌子租赁</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含桌布</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张</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椅子租赁</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白色</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60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把</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LED屏幕租赁</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高清屏幕</w:t>
                  </w:r>
                  <w:r>
                    <w:rPr>
                      <w:rFonts w:ascii="仿宋_GB2312" w:hAnsi="仿宋_GB2312" w:cs="仿宋_GB2312" w:eastAsia="仿宋_GB2312"/>
                      <w:sz w:val="24"/>
                      <w:color w:val="000000"/>
                    </w:rPr>
                    <w:t>4*10M</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舞台租赁</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4*10M，高0.4M含踏步</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平方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音响租赁</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线阵</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控台租赁</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音响及屏幕总控制</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套</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含音响师</w:t>
                  </w:r>
                </w:p>
              </w:tc>
            </w:tr>
            <w:tr>
              <w:tc>
                <w:tcPr>
                  <w:tcW w:type="dxa" w:w="431"/>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入口主背景</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桁架含画面</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软隔离线</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1米线</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内场地贴</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地面流线</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裁判员、技术官员及其工作人员相关费用</w:t>
                  </w:r>
                </w:p>
              </w:tc>
              <w:tc>
                <w:tcPr>
                  <w:tcW w:type="dxa" w:w="553"/>
                  <w:vMerge w:val="restart"/>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裁判员劳务费</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裁判长、副裁判长、技术代表</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
                  <w:vMerge/>
                  <w:tcBorders>
                    <w:top w:val="none" w:color="000000" w:sz="4"/>
                    <w:left w:val="single" w:color="000000" w:sz="4"/>
                    <w:bottom w:val="single" w:color="000000" w:sz="4"/>
                    <w:right w:val="single" w:color="000000" w:sz="4"/>
                  </w:tcBorders>
                </w:tcPr>
                <w:p/>
              </w:tc>
              <w:tc>
                <w:tcPr>
                  <w:tcW w:type="dxa" w:w="553"/>
                  <w:vMerge/>
                  <w:tcBorders>
                    <w:top w:val="none" w:color="000000" w:sz="4"/>
                    <w:left w:val="none" w:color="000000" w:sz="4"/>
                    <w:bottom w:val="single" w:color="000000" w:sz="4"/>
                    <w:right w:val="single" w:color="000000" w:sz="4"/>
                  </w:tcBorders>
                </w:tcP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裁判员</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27</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工作人员劳务费</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工作人员、安保人员、保洁人员等</w:t>
                  </w:r>
                </w:p>
              </w:tc>
            </w:tr>
            <w:tr>
              <w:tc>
                <w:tcPr>
                  <w:tcW w:type="dxa" w:w="431"/>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志愿者</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伙食费</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午餐，盒饭</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80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人</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制作及其印刷费</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参赛相关证件</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PVC定制</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个</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包含参赛队员、教练员、工作人员、志愿者等</w:t>
                  </w:r>
                </w:p>
              </w:tc>
            </w:tr>
            <w:tr>
              <w:tc>
                <w:tcPr>
                  <w:tcW w:type="dxa" w:w="431"/>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秩序册、成绩册</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A4铜版纸</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90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本</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宣传费</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媒体宣传</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国内媒体</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3</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次</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照片拍摄</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照片直播</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短视频剪辑</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宣传短视频</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2</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条</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其他保障费</w:t>
                  </w: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设计及排版</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整体</w:t>
                  </w:r>
                  <w:r>
                    <w:rPr>
                      <w:rFonts w:ascii="仿宋_GB2312" w:hAnsi="仿宋_GB2312" w:cs="仿宋_GB2312" w:eastAsia="仿宋_GB2312"/>
                      <w:sz w:val="24"/>
                      <w:color w:val="000000"/>
                    </w:rPr>
                    <w:t>VI设计、秩序册、成绩册等</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比赛用水</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瓶装水</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500</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瓶</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竞赛通用器材</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备用电池</w:t>
                  </w:r>
                  <w:r>
                    <w:rPr>
                      <w:rFonts w:ascii="仿宋_GB2312" w:hAnsi="仿宋_GB2312" w:cs="仿宋_GB2312" w:eastAsia="仿宋_GB2312"/>
                      <w:sz w:val="24"/>
                      <w:color w:val="000000"/>
                    </w:rPr>
                    <w:t>30组、打印纸5包、裁判文具30套、大声功1套、笔记本电脑2台、激光打印机1台、针式打印机1台、其他文具等</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r>
              <w:tc>
                <w:tcPr>
                  <w:tcW w:type="dxa" w:w="431"/>
                  <w:vMerge/>
                  <w:tcBorders>
                    <w:top w:val="none" w:color="000000" w:sz="4"/>
                    <w:left w:val="single" w:color="000000" w:sz="4"/>
                    <w:bottom w:val="single" w:color="000000" w:sz="4"/>
                    <w:right w:val="single" w:color="000000" w:sz="4"/>
                  </w:tcBorders>
                </w:tcPr>
                <w:p/>
              </w:tc>
              <w:tc>
                <w:tcPr>
                  <w:tcW w:type="dxa" w:w="55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救护车</w:t>
                  </w:r>
                </w:p>
              </w:tc>
              <w:tc>
                <w:tcPr>
                  <w:tcW w:type="dxa" w:w="469"/>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含司机、医生、护士</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1</w:t>
                  </w:r>
                </w:p>
              </w:tc>
              <w:tc>
                <w:tcPr>
                  <w:tcW w:type="dxa" w:w="213"/>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项</w:t>
                  </w:r>
                </w:p>
              </w:tc>
              <w:tc>
                <w:tcPr>
                  <w:tcW w:type="dxa" w:w="255"/>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color w:val="000000"/>
                    </w:rPr>
                    <w:t>4</w:t>
                  </w:r>
                </w:p>
              </w:tc>
              <w:tc>
                <w:tcPr>
                  <w:tcW w:type="dxa" w:w="408"/>
                  <w:tcBorders>
                    <w:top w:val="none" w:color="000000" w:sz="4"/>
                    <w:left w:val="none" w:color="000000" w:sz="4"/>
                    <w:bottom w:val="single" w:color="000000" w:sz="4"/>
                    <w:right w:val="single" w:color="000000" w:sz="4"/>
                  </w:tcBorders>
                  <w:tcMar>
                    <w:top w:type="dxa" w:w="0"/>
                    <w:left w:type="dxa" w:w="105"/>
                    <w:bottom w:type="dxa" w:w="0"/>
                    <w:right w:type="dxa" w:w="105"/>
                  </w:tcMar>
                  <w:vAlign w:val="top"/>
                </w:tcPr>
                <w:p>
                  <w:pPr>
                    <w:pStyle w:val="null3"/>
                    <w:jc w:val="center"/>
                  </w:pPr>
                </w:p>
              </w:tc>
            </w:tr>
          </w:tbl>
          <w:p/>
        </w:tc>
      </w:tr>
      <w:tr>
        <w:tc>
          <w:tcPr>
            <w:tcW w:type="dxa" w:w="2769"/>
          </w:tcPr>
          <w:p>
            <w:pPr>
              <w:pStyle w:val="null3"/>
            </w:pPr>
            <w:r>
              <w:rPr>
                <w:rFonts w:ascii="仿宋_GB2312" w:hAnsi="仿宋_GB2312" w:cs="仿宋_GB2312" w:eastAsia="仿宋_GB2312"/>
              </w:rPr>
              <w:t>4</w:t>
            </w:r>
          </w:p>
        </w:tc>
        <w:tc>
          <w:tcPr>
            <w:tcW w:type="dxa" w:w="2769"/>
          </w:tcPr>
          <w:p/>
        </w:tc>
        <w:tc>
          <w:tcPr>
            <w:tcW w:type="dxa" w:w="2769"/>
          </w:tcPr>
          <w:p>
            <w:pPr>
              <w:pStyle w:val="null3"/>
            </w:pPr>
            <w:r>
              <w:rPr>
                <w:rFonts w:ascii="仿宋_GB2312" w:hAnsi="仿宋_GB2312" w:cs="仿宋_GB2312" w:eastAsia="仿宋_GB2312"/>
              </w:rPr>
              <w:t>注：1.所有制作、宣传需经采购人审核同意后方可发布，赛事所有原始资料报采购人留存。</w:t>
            </w:r>
            <w:r>
              <w:br/>
            </w:r>
            <w:r>
              <w:rPr>
                <w:rFonts w:ascii="仿宋_GB2312" w:hAnsi="仿宋_GB2312" w:cs="仿宋_GB2312" w:eastAsia="仿宋_GB2312"/>
              </w:rPr>
              <w:t xml:space="preserve"> 2.竞赛组织、报名资审由采购人负责，裁判员、志愿者、工作人员由采购人指派。</w:t>
            </w:r>
            <w:r>
              <w:br/>
            </w:r>
            <w:r>
              <w:rPr>
                <w:rFonts w:ascii="仿宋_GB2312" w:hAnsi="仿宋_GB2312" w:cs="仿宋_GB2312" w:eastAsia="仿宋_GB2312"/>
              </w:rPr>
              <w:t xml:space="preserve"> 3.供应商除竞赛组织、报名资审，裁判员、志愿者、工作人员指派事宜以外事项，均需做好相应服务保障，场地设施布置、器材准备、电计设备、物料及宣传类制作、劳务发放、用餐安排、会议组织（含会场布置、参赛相关物资分类发放）、安全报备、市场运营、医疗救护、媒体报道宣传制作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按“技术参数与性能指标”中实际需求配备相应人员</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按“技术参数与性能指标”中实际需求配备相应设施设备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服务质量：质量达到现行合格标准，符合国家、行业、地方规定的质量和安全标准要求。</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2026年5月8日开始赛事工作，直至比赛结束为止。</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由采购人组织，按照关于印发《政府采购需求管理办法》的通知（财库〔2021〕22号）和《财政部关于进一步加强政府采购需求和履约验收管理的指导意见》(财库〔2016〕205号)的要求以及采购文件、供应商的响应文件进行验收，以满足采购人的实际需求为准。</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比赛结束，验收完成后</w:t>
      </w:r>
      <w:r>
        <w:rPr>
          <w:rFonts w:ascii="仿宋_GB2312" w:hAnsi="仿宋_GB2312" w:cs="仿宋_GB2312" w:eastAsia="仿宋_GB2312"/>
        </w:rPr>
        <w:t xml:space="preserve"> ，达到付款条件起 </w:t>
      </w:r>
      <w:r>
        <w:rPr>
          <w:rFonts w:ascii="仿宋_GB2312" w:hAnsi="仿宋_GB2312" w:cs="仿宋_GB2312" w:eastAsia="仿宋_GB2312"/>
        </w:rPr>
        <w:t>30</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1.按《中华人民共和国民法典》中的相关条款执行。 2.未按合同要求提供服务或服务质量不能满足技术要求，采购人有权终止合同，并对供方违约行为进行追究，同时按《中华人民共和国政府采购法》的有关规定进行处罚。</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为顺利推进政府采购电子化交易平台应用工作，供应商需要在线提交所有通过电子化交易平台实施的政府采购项目的响应文件，中标供应商在结果公告发布5个工作日内提供纸质版文件2份。 递交文件地点：西安市高新区锦业一路52号宝德云谷国际B座14层1406-6室</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供应商需在项目电子化交易系统中按要求上传相应证明文件并进行电子签章。</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本采购包专门面向中小企业采购</w:t>
            </w:r>
          </w:p>
        </w:tc>
        <w:tc>
          <w:tcPr>
            <w:tcW w:type="dxa" w:w="3322"/>
          </w:tcPr>
          <w:p>
            <w:pPr>
              <w:pStyle w:val="null3"/>
            </w:pPr>
            <w:r>
              <w:rPr>
                <w:rFonts w:ascii="仿宋_GB2312" w:hAnsi="仿宋_GB2312" w:cs="仿宋_GB2312" w:eastAsia="仿宋_GB2312"/>
              </w:rPr>
              <w:t>参与的供应商（联合体）服务全部由符合政策要求的中小企业承接。</w:t>
            </w:r>
          </w:p>
        </w:tc>
        <w:tc>
          <w:tcPr>
            <w:tcW w:type="dxa" w:w="1661"/>
          </w:tcPr>
          <w:p>
            <w:pPr>
              <w:pStyle w:val="null3"/>
            </w:pPr>
            <w:r>
              <w:rPr>
                <w:rFonts w:ascii="仿宋_GB2312" w:hAnsi="仿宋_GB2312" w:cs="仿宋_GB2312" w:eastAsia="仿宋_GB2312"/>
              </w:rPr>
              <w:t>中小企业声明函 残疾人福利性单位声明函 监狱企业的证明文件</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营业执照</w:t>
            </w:r>
          </w:p>
        </w:tc>
        <w:tc>
          <w:tcPr>
            <w:tcW w:type="dxa" w:w="3322"/>
          </w:tcPr>
          <w:p>
            <w:pPr>
              <w:pStyle w:val="null3"/>
            </w:pPr>
            <w:r>
              <w:rPr>
                <w:rFonts w:ascii="仿宋_GB2312" w:hAnsi="仿宋_GB2312" w:cs="仿宋_GB2312" w:eastAsia="仿宋_GB2312"/>
              </w:rPr>
              <w:t>具有独立承担民事责任能力的法人、其他组织或自然人，提供合法有效的统一社会信用代码营业执照（事业单位提供法人证书，自然人提供身份证）</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法定代表人授权委托书</w:t>
            </w:r>
          </w:p>
        </w:tc>
        <w:tc>
          <w:tcPr>
            <w:tcW w:type="dxa" w:w="3322"/>
          </w:tcPr>
          <w:p>
            <w:pPr>
              <w:pStyle w:val="null3"/>
            </w:pPr>
            <w:r>
              <w:rPr>
                <w:rFonts w:ascii="仿宋_GB2312" w:hAnsi="仿宋_GB2312" w:cs="仿宋_GB2312" w:eastAsia="仿宋_GB2312"/>
              </w:rPr>
              <w:t>法定代表人参加投标的，须提供法定代表人身份证明；法定代表人授权他人参加投标的，须提供法定代表人授权委托书及被授权人身份证复印件</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财务状况报告</w:t>
            </w:r>
          </w:p>
        </w:tc>
        <w:tc>
          <w:tcPr>
            <w:tcW w:type="dxa" w:w="3322"/>
          </w:tcPr>
          <w:p>
            <w:pPr>
              <w:pStyle w:val="null3"/>
            </w:pPr>
            <w:r>
              <w:rPr>
                <w:rFonts w:ascii="仿宋_GB2312" w:hAnsi="仿宋_GB2312" w:cs="仿宋_GB2312" w:eastAsia="仿宋_GB2312"/>
              </w:rPr>
              <w:t>提供 2024或2025 年度经会计师事务所或审计机构审计的财务审报告或在开标时间前六个月内其基本开户银行出具的资信证明或财政部门认可的政府采购专业担保机构出具的投标担保函，以上形式的证明资料提供任何一种即可</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税收缴纳证明</w:t>
            </w:r>
          </w:p>
        </w:tc>
        <w:tc>
          <w:tcPr>
            <w:tcW w:type="dxa" w:w="3322"/>
          </w:tcPr>
          <w:p>
            <w:pPr>
              <w:pStyle w:val="null3"/>
            </w:pPr>
            <w:r>
              <w:rPr>
                <w:rFonts w:ascii="仿宋_GB2312" w:hAnsi="仿宋_GB2312" w:cs="仿宋_GB2312" w:eastAsia="仿宋_GB2312"/>
              </w:rPr>
              <w:t>提供投标文件截止时间前一年内至少一个月已缴纳的任意税种凭据；依法免税的投标人应提供相关文件证明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社会保障资金缴纳证明</w:t>
            </w:r>
          </w:p>
        </w:tc>
        <w:tc>
          <w:tcPr>
            <w:tcW w:type="dxa" w:w="3322"/>
          </w:tcPr>
          <w:p>
            <w:pPr>
              <w:pStyle w:val="null3"/>
            </w:pPr>
            <w:r>
              <w:rPr>
                <w:rFonts w:ascii="仿宋_GB2312" w:hAnsi="仿宋_GB2312" w:cs="仿宋_GB2312" w:eastAsia="仿宋_GB2312"/>
              </w:rPr>
              <w:t>提供投标文件截止时间前一年内至少一个月已缴纳的社会保障资金的凭据（专用收据或社会保险缴纳清单）；依法不需要缴纳社会保障资金的投标人应提供相关文件证明</w:t>
            </w:r>
          </w:p>
        </w:tc>
        <w:tc>
          <w:tcPr>
            <w:tcW w:type="dxa" w:w="1661"/>
          </w:tcPr>
          <w:p>
            <w:pPr>
              <w:pStyle w:val="null3"/>
            </w:pPr>
            <w:r>
              <w:rPr>
                <w:rFonts w:ascii="仿宋_GB2312" w:hAnsi="仿宋_GB2312" w:cs="仿宋_GB2312" w:eastAsia="仿宋_GB2312"/>
              </w:rPr>
              <w:t>供应商资质证明文件.docx</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书面承诺</w:t>
            </w:r>
          </w:p>
        </w:tc>
        <w:tc>
          <w:tcPr>
            <w:tcW w:type="dxa" w:w="3322"/>
          </w:tcPr>
          <w:p>
            <w:pPr>
              <w:pStyle w:val="null3"/>
            </w:pPr>
            <w:r>
              <w:rPr>
                <w:rFonts w:ascii="仿宋_GB2312" w:hAnsi="仿宋_GB2312" w:cs="仿宋_GB2312" w:eastAsia="仿宋_GB2312"/>
              </w:rPr>
              <w:t>提供具有履行本合同所必需的设备和专业技术能力的声明、参加采购活动前3年内在经营活动中没有重大违法记录的书面承诺</w:t>
            </w:r>
          </w:p>
        </w:tc>
        <w:tc>
          <w:tcPr>
            <w:tcW w:type="dxa" w:w="1661"/>
          </w:tcPr>
          <w:p>
            <w:pPr>
              <w:pStyle w:val="null3"/>
            </w:pPr>
            <w:r>
              <w:rPr>
                <w:rFonts w:ascii="仿宋_GB2312" w:hAnsi="仿宋_GB2312" w:cs="仿宋_GB2312" w:eastAsia="仿宋_GB2312"/>
              </w:rPr>
              <w:t>供应商资质证明文件.docx</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 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初步审查</w:t>
            </w:r>
          </w:p>
        </w:tc>
        <w:tc>
          <w:tcPr>
            <w:tcW w:type="dxa" w:w="3322"/>
          </w:tcPr>
          <w:p>
            <w:pPr>
              <w:pStyle w:val="null3"/>
            </w:pPr>
            <w:r>
              <w:rPr>
                <w:rFonts w:ascii="仿宋_GB2312" w:hAnsi="仿宋_GB2312" w:cs="仿宋_GB2312" w:eastAsia="仿宋_GB2312"/>
              </w:rPr>
              <w:t>1.响应文件是否按照磋商文件规定提交的；2.响应文件的签署、加盖印章是否合格、有效；提供的各种证明文件、数据、资料是否真实、有效； 3.无投标有效期或有效期达不到磋商文件要求的；4.响应文件附加了采购人难以接受的条件或条款的；5.响应文件未实质性响应磋商文件要求的；6.不符合法律、法规和磋商文件中规定的其他实质性要求的。</w:t>
            </w:r>
          </w:p>
        </w:tc>
        <w:tc>
          <w:tcPr>
            <w:tcW w:type="dxa" w:w="1661"/>
          </w:tcPr>
          <w:p>
            <w:pPr>
              <w:pStyle w:val="null3"/>
            </w:pPr>
            <w:r>
              <w:rPr>
                <w:rFonts w:ascii="仿宋_GB2312" w:hAnsi="仿宋_GB2312" w:cs="仿宋_GB2312" w:eastAsia="仿宋_GB2312"/>
              </w:rPr>
              <w:t>响应文件封面 服务内容及服务邀请应答表 商务应答表 其他证明材料.docx 供应商承诺书.docx</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详细评审80.00分</w:t>
            </w:r>
          </w:p>
          <w:p>
            <w:pPr>
              <w:pStyle w:val="null3"/>
            </w:pPr>
            <w:r>
              <w:rPr>
                <w:rFonts w:ascii="仿宋_GB2312" w:hAnsi="仿宋_GB2312" w:cs="仿宋_GB2312" w:eastAsia="仿宋_GB2312"/>
              </w:rPr>
              <w:t>报价得分20.00分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服务方案</w:t>
            </w:r>
          </w:p>
        </w:tc>
        <w:tc>
          <w:tcPr>
            <w:tcW w:type="dxa" w:w="2492"/>
          </w:tcPr>
          <w:p>
            <w:pPr>
              <w:pStyle w:val="null3"/>
            </w:pPr>
            <w:r>
              <w:rPr>
                <w:rFonts w:ascii="仿宋_GB2312" w:hAnsi="仿宋_GB2312" w:cs="仿宋_GB2312" w:eastAsia="仿宋_GB2312"/>
              </w:rPr>
              <w:t>供应商针对本项目提供服务方案，方案需包含根据供应商针对本项目提供的服务方案①赛事总体安排方案；②后勤保障措施；③赛场布置方案；④媒体宣传方案；⑤人员职责及分工安排；⑥器材和设施配置（比赛设备、裁判用品）；⑦项目进度安排及保障措施；以上各项方案内容全面详细、阐述条理清晰详尽、符合本项目采购需求，能有效保障本项目实施的得56分，每有一项方案缺失扣8分。方案①-⑦项每项每存在一种缺陷扣2分，扣完为止；未提供不计分。 注：以上“缺陷”是①内容不合理、虽有内容但内容稀疏、不完整或缺少关键点；②非专门针对本项目或不适用本项目特性、套用其他项目内容；③对同一问题前后表述矛盾，存在逻辑漏洞、科学原理或常识错误；④不利于本项目目标的实现、现有条件下不可能出现的情形等任意一种情形。</w:t>
            </w:r>
          </w:p>
        </w:tc>
        <w:tc>
          <w:tcPr>
            <w:tcW w:type="dxa" w:w="831"/>
          </w:tcPr>
          <w:p>
            <w:pPr>
              <w:pStyle w:val="null3"/>
              <w:jc w:val="right"/>
            </w:pPr>
            <w:r>
              <w:rPr>
                <w:rFonts w:ascii="仿宋_GB2312" w:hAnsi="仿宋_GB2312" w:cs="仿宋_GB2312" w:eastAsia="仿宋_GB2312"/>
              </w:rPr>
              <w:t>56.0000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服务方案</w:t>
            </w:r>
          </w:p>
          <w:p>
            <w:pPr>
              <w:pStyle w:val="null3"/>
            </w:pPr>
            <w:r>
              <w:rPr>
                <w:rFonts w:ascii="仿宋_GB2312" w:hAnsi="仿宋_GB2312" w:cs="仿宋_GB2312" w:eastAsia="仿宋_GB2312"/>
              </w:rPr>
              <w:t>其他证明材料.docx</w:t>
            </w:r>
          </w:p>
        </w:tc>
      </w:tr>
      <w:tr>
        <w:tc>
          <w:tcPr>
            <w:tcW w:type="dxa" w:w="831"/>
            <w:vMerge/>
          </w:tcPr>
          <w:p/>
        </w:tc>
        <w:tc>
          <w:tcPr>
            <w:tcW w:type="dxa" w:w="1661"/>
          </w:tcPr>
          <w:p>
            <w:pPr>
              <w:pStyle w:val="null3"/>
            </w:pPr>
            <w:r>
              <w:rPr>
                <w:rFonts w:ascii="仿宋_GB2312" w:hAnsi="仿宋_GB2312" w:cs="仿宋_GB2312" w:eastAsia="仿宋_GB2312"/>
              </w:rPr>
              <w:t>应急保障方案</w:t>
            </w:r>
          </w:p>
        </w:tc>
        <w:tc>
          <w:tcPr>
            <w:tcW w:type="dxa" w:w="2492"/>
          </w:tcPr>
          <w:p>
            <w:pPr>
              <w:pStyle w:val="null3"/>
            </w:pPr>
            <w:r>
              <w:rPr>
                <w:rFonts w:ascii="仿宋_GB2312" w:hAnsi="仿宋_GB2312" w:cs="仿宋_GB2312" w:eastAsia="仿宋_GB2312"/>
              </w:rPr>
              <w:t>根据供应商针对本项目提供的应急保障方案①消防安全保障；②极端天气应急措施；③医疗救援保障措施；④赛事安保应急措施；以上各项方案内容全面详细、阐述条理清晰详尽、符合本项目采购需求，能有效保障本项目实施的得16分，每有一项方案缺失扣4分。方案①-④项每项每存在一种缺陷扣1分，扣完为止；未提供不计分。 注：以上“缺陷”是①内容不合理、虽有内容但内容稀疏、不完整或缺少关键点；②非专门针对本项目或不适用本项目特性、套用其他项目内容；③对同一问题前后表述矛盾，存在逻辑漏洞、科学原理或常识错误；④不利于本项目目标的实现、现有条件下不可能出现的情形等任意一种情形。</w:t>
            </w:r>
          </w:p>
        </w:tc>
        <w:tc>
          <w:tcPr>
            <w:tcW w:type="dxa" w:w="831"/>
          </w:tcPr>
          <w:p>
            <w:pPr>
              <w:pStyle w:val="null3"/>
              <w:jc w:val="right"/>
            </w:pPr>
            <w:r>
              <w:rPr>
                <w:rFonts w:ascii="仿宋_GB2312" w:hAnsi="仿宋_GB2312" w:cs="仿宋_GB2312" w:eastAsia="仿宋_GB2312"/>
              </w:rPr>
              <w:t>16.0000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其他证明材料.docx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服务承诺</w:t>
            </w:r>
          </w:p>
        </w:tc>
        <w:tc>
          <w:tcPr>
            <w:tcW w:type="dxa" w:w="2492"/>
          </w:tcPr>
          <w:p>
            <w:pPr>
              <w:pStyle w:val="null3"/>
            </w:pPr>
            <w:r>
              <w:rPr>
                <w:rFonts w:ascii="仿宋_GB2312" w:hAnsi="仿宋_GB2312" w:cs="仿宋_GB2312" w:eastAsia="仿宋_GB2312"/>
              </w:rPr>
              <w:t>对比各供应商针对本项目提供的服务承诺。 ①承诺事项内容明确、具体可行、操作性强，计3分； ②承诺内容不完善、内容表述前后不一致计1分； 未提供不计分。</w:t>
            </w:r>
          </w:p>
        </w:tc>
        <w:tc>
          <w:tcPr>
            <w:tcW w:type="dxa" w:w="831"/>
          </w:tcPr>
          <w:p>
            <w:pPr>
              <w:pStyle w:val="null3"/>
              <w:jc w:val="right"/>
            </w:pPr>
            <w:r>
              <w:rPr>
                <w:rFonts w:ascii="仿宋_GB2312" w:hAnsi="仿宋_GB2312" w:cs="仿宋_GB2312" w:eastAsia="仿宋_GB2312"/>
              </w:rPr>
              <w:t>3.0000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其他证明材料.docx</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提供自2023年1月1日至今体育赛事类承办业绩，磋商响应文件中附合同复印件加盖公章，每提供一个计1分，满分5分。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其他证明材料.docx</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满足磋商文件要求且最后报价最低的供应商的价格为磋商基准价。各供应商的价格分统一按照下列公式计算：磋商报价得分=（磋商基准价/最后磋商报价）×价格权值</w:t>
            </w:r>
          </w:p>
        </w:tc>
        <w:tc>
          <w:tcPr>
            <w:tcW w:type="dxa" w:w="831"/>
          </w:tcPr>
          <w:p>
            <w:pPr>
              <w:pStyle w:val="null3"/>
              <w:jc w:val="right"/>
            </w:pPr>
            <w:r>
              <w:rPr>
                <w:rFonts w:ascii="仿宋_GB2312" w:hAnsi="仿宋_GB2312" w:cs="仿宋_GB2312" w:eastAsia="仿宋_GB2312"/>
              </w:rPr>
              <w:t>20.0000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06"/>
            <w:gridSpan w:val="6"/>
          </w:tcPr>
          <w:p>
            <w:pPr>
              <w:pStyle w:val="null3"/>
            </w:pPr>
            <w:r>
              <w:rPr>
                <w:rFonts w:ascii="仿宋_GB2312" w:hAnsi="仿宋_GB2312" w:cs="仿宋_GB2312" w:eastAsia="仿宋_GB2312"/>
              </w:rPr>
              <w:t xml:space="preserve"> 无</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ind w:firstLine="960"/>
      </w:pPr>
      <w:r>
        <w:rPr>
          <w:rFonts w:ascii="仿宋_GB2312" w:hAnsi="仿宋_GB2312" w:cs="仿宋_GB2312" w:eastAsia="仿宋_GB2312"/>
        </w:rPr>
        <w:t>详见附件：供应商承诺书.docx</w:t>
      </w:r>
    </w:p>
    <w:p>
      <w:pPr>
        <w:pStyle w:val="null3"/>
        <w:ind w:firstLine="960"/>
      </w:pPr>
      <w:r>
        <w:rPr>
          <w:rFonts w:ascii="仿宋_GB2312" w:hAnsi="仿宋_GB2312" w:cs="仿宋_GB2312" w:eastAsia="仿宋_GB2312"/>
        </w:rPr>
        <w:t>详见附件：供应商资质证明文件.docx</w:t>
      </w:r>
    </w:p>
    <w:p>
      <w:pPr>
        <w:pStyle w:val="null3"/>
        <w:ind w:firstLine="960"/>
      </w:pPr>
      <w:r>
        <w:rPr>
          <w:rFonts w:ascii="仿宋_GB2312" w:hAnsi="仿宋_GB2312" w:cs="仿宋_GB2312" w:eastAsia="仿宋_GB2312"/>
        </w:rPr>
        <w:t>详见附件：其他证明材料.docx</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详见附件：参考合同.docx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