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C8074">
      <w:pPr>
        <w:rPr>
          <w:rFonts w:hint="eastAsia"/>
          <w:sz w:val="32"/>
          <w:szCs w:val="32"/>
          <w:lang w:val="en-US" w:eastAsia="zh-CN"/>
        </w:rPr>
      </w:pPr>
      <w:r>
        <w:rPr>
          <w:rFonts w:hint="eastAsia"/>
          <w:sz w:val="32"/>
          <w:szCs w:val="32"/>
          <w:lang w:val="en-US" w:eastAsia="zh-CN"/>
        </w:rPr>
        <w:t>政府采购项目                               单一来源</w:t>
      </w:r>
    </w:p>
    <w:p w14:paraId="264F42AC">
      <w:pPr>
        <w:pStyle w:val="2"/>
        <w:jc w:val="center"/>
        <w:rPr>
          <w:rFonts w:hint="eastAsia"/>
          <w:sz w:val="44"/>
          <w:szCs w:val="44"/>
          <w:lang w:val="en-US" w:eastAsia="zh-CN"/>
        </w:rPr>
      </w:pPr>
    </w:p>
    <w:p w14:paraId="0B3ACD02">
      <w:pPr>
        <w:pStyle w:val="2"/>
        <w:jc w:val="center"/>
        <w:rPr>
          <w:rFonts w:hint="eastAsia"/>
          <w:sz w:val="44"/>
          <w:szCs w:val="44"/>
          <w:lang w:val="en-US" w:eastAsia="zh-CN"/>
        </w:rPr>
      </w:pPr>
    </w:p>
    <w:p w14:paraId="4BD3C60F">
      <w:pPr>
        <w:pStyle w:val="2"/>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西安市城市管理综合行政执法支队</w:t>
      </w:r>
    </w:p>
    <w:p w14:paraId="4664F85E">
      <w:pPr>
        <w:pStyle w:val="2"/>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房屋租赁合同</w:t>
      </w:r>
    </w:p>
    <w:p w14:paraId="76096B4B">
      <w:pPr>
        <w:pStyle w:val="2"/>
        <w:jc w:val="center"/>
        <w:rPr>
          <w:rFonts w:hint="default"/>
          <w:sz w:val="32"/>
          <w:szCs w:val="32"/>
          <w:lang w:val="en-US" w:eastAsia="zh-CN"/>
        </w:rPr>
      </w:pPr>
      <w:r>
        <w:rPr>
          <w:rFonts w:hint="default"/>
          <w:sz w:val="32"/>
          <w:szCs w:val="32"/>
          <w:lang w:val="en-US" w:eastAsia="zh-CN"/>
        </w:rPr>
        <w:t>(政府采购编号:</w:t>
      </w:r>
      <w:r>
        <w:rPr>
          <w:rFonts w:hint="eastAsia"/>
          <w:sz w:val="32"/>
          <w:szCs w:val="32"/>
          <w:u w:val="single"/>
          <w:lang w:val="en-US" w:eastAsia="zh-CN"/>
        </w:rPr>
        <w:t xml:space="preserve">                    </w:t>
      </w:r>
      <w:r>
        <w:rPr>
          <w:rFonts w:hint="default"/>
          <w:sz w:val="32"/>
          <w:szCs w:val="32"/>
          <w:lang w:val="en-US" w:eastAsia="zh-CN"/>
        </w:rPr>
        <w:t>)</w:t>
      </w:r>
    </w:p>
    <w:p w14:paraId="38F283FE">
      <w:pPr>
        <w:pStyle w:val="2"/>
        <w:jc w:val="center"/>
        <w:rPr>
          <w:rFonts w:hint="default"/>
          <w:sz w:val="24"/>
          <w:szCs w:val="24"/>
          <w:lang w:val="en-US" w:eastAsia="zh-CN"/>
        </w:rPr>
      </w:pPr>
    </w:p>
    <w:p w14:paraId="4C058294">
      <w:pPr>
        <w:pStyle w:val="2"/>
        <w:jc w:val="center"/>
        <w:rPr>
          <w:rFonts w:hint="default"/>
          <w:sz w:val="24"/>
          <w:szCs w:val="24"/>
          <w:lang w:val="en-US" w:eastAsia="zh-CN"/>
        </w:rPr>
      </w:pPr>
    </w:p>
    <w:p w14:paraId="022BF664">
      <w:pPr>
        <w:pStyle w:val="2"/>
        <w:jc w:val="center"/>
        <w:rPr>
          <w:rFonts w:hint="default"/>
          <w:sz w:val="24"/>
          <w:szCs w:val="24"/>
          <w:lang w:val="en-US" w:eastAsia="zh-CN"/>
        </w:rPr>
      </w:pPr>
    </w:p>
    <w:p w14:paraId="683178A8">
      <w:pPr>
        <w:pStyle w:val="2"/>
        <w:jc w:val="center"/>
        <w:rPr>
          <w:rFonts w:hint="default"/>
          <w:sz w:val="24"/>
          <w:szCs w:val="24"/>
          <w:lang w:val="en-US" w:eastAsia="zh-CN"/>
        </w:rPr>
      </w:pPr>
    </w:p>
    <w:p w14:paraId="269AC4F5">
      <w:pPr>
        <w:pStyle w:val="2"/>
        <w:jc w:val="center"/>
        <w:rPr>
          <w:rFonts w:hint="default"/>
          <w:sz w:val="24"/>
          <w:szCs w:val="24"/>
          <w:lang w:val="en-US" w:eastAsia="zh-CN"/>
        </w:rPr>
      </w:pPr>
    </w:p>
    <w:p w14:paraId="78FAFC59">
      <w:pPr>
        <w:pStyle w:val="2"/>
        <w:jc w:val="center"/>
        <w:rPr>
          <w:rFonts w:hint="default"/>
          <w:sz w:val="24"/>
          <w:szCs w:val="24"/>
          <w:lang w:val="en-US" w:eastAsia="zh-CN"/>
        </w:rPr>
      </w:pPr>
    </w:p>
    <w:p w14:paraId="058FE1F7">
      <w:pPr>
        <w:pStyle w:val="2"/>
        <w:jc w:val="center"/>
        <w:rPr>
          <w:rFonts w:hint="default"/>
          <w:sz w:val="24"/>
          <w:szCs w:val="24"/>
          <w:lang w:val="en-US" w:eastAsia="zh-CN"/>
        </w:rPr>
      </w:pPr>
    </w:p>
    <w:p w14:paraId="4001501E">
      <w:pPr>
        <w:pStyle w:val="2"/>
        <w:jc w:val="center"/>
        <w:rPr>
          <w:rFonts w:hint="default"/>
          <w:sz w:val="24"/>
          <w:szCs w:val="24"/>
          <w:lang w:val="en-US" w:eastAsia="zh-CN"/>
        </w:rPr>
      </w:pPr>
    </w:p>
    <w:p w14:paraId="54D2A5D5">
      <w:pPr>
        <w:pStyle w:val="2"/>
        <w:jc w:val="center"/>
        <w:rPr>
          <w:rFonts w:hint="default"/>
          <w:sz w:val="24"/>
          <w:szCs w:val="24"/>
          <w:lang w:val="en-US" w:eastAsia="zh-CN"/>
        </w:rPr>
      </w:pPr>
    </w:p>
    <w:p w14:paraId="15A3A7B1">
      <w:pPr>
        <w:pStyle w:val="2"/>
        <w:jc w:val="center"/>
        <w:rPr>
          <w:rFonts w:hint="default"/>
          <w:sz w:val="24"/>
          <w:szCs w:val="24"/>
          <w:lang w:val="en-US" w:eastAsia="zh-CN"/>
        </w:rPr>
      </w:pPr>
    </w:p>
    <w:p w14:paraId="38672075">
      <w:pPr>
        <w:pStyle w:val="2"/>
        <w:jc w:val="center"/>
        <w:rPr>
          <w:rFonts w:hint="default"/>
          <w:sz w:val="24"/>
          <w:szCs w:val="24"/>
          <w:lang w:val="en-US" w:eastAsia="zh-CN"/>
        </w:rPr>
      </w:pPr>
    </w:p>
    <w:p w14:paraId="5469A33C">
      <w:pPr>
        <w:pStyle w:val="2"/>
        <w:jc w:val="center"/>
        <w:rPr>
          <w:rFonts w:hint="default"/>
          <w:sz w:val="24"/>
          <w:szCs w:val="24"/>
          <w:lang w:val="en-US" w:eastAsia="zh-CN"/>
        </w:rPr>
      </w:pPr>
    </w:p>
    <w:p w14:paraId="0D5DD8D9">
      <w:pPr>
        <w:pStyle w:val="2"/>
        <w:jc w:val="center"/>
        <w:rPr>
          <w:rFonts w:hint="default"/>
          <w:sz w:val="24"/>
          <w:szCs w:val="24"/>
          <w:lang w:val="en-US" w:eastAsia="zh-CN"/>
        </w:rPr>
      </w:pPr>
    </w:p>
    <w:p w14:paraId="2C86BFF1">
      <w:pPr>
        <w:pStyle w:val="2"/>
        <w:jc w:val="center"/>
        <w:rPr>
          <w:rFonts w:hint="default"/>
          <w:sz w:val="24"/>
          <w:szCs w:val="24"/>
          <w:lang w:val="en-US" w:eastAsia="zh-CN"/>
        </w:rPr>
      </w:pPr>
    </w:p>
    <w:p w14:paraId="64647715">
      <w:pPr>
        <w:pStyle w:val="2"/>
        <w:jc w:val="center"/>
        <w:rPr>
          <w:rFonts w:hint="default"/>
          <w:sz w:val="24"/>
          <w:szCs w:val="24"/>
          <w:lang w:val="en-US" w:eastAsia="zh-CN"/>
        </w:rPr>
      </w:pPr>
    </w:p>
    <w:p w14:paraId="0153F670">
      <w:pPr>
        <w:pStyle w:val="2"/>
        <w:keepNext w:val="0"/>
        <w:keepLines w:val="0"/>
        <w:pageBreakBefore w:val="0"/>
        <w:widowControl w:val="0"/>
        <w:kinsoku/>
        <w:wordWrap/>
        <w:overflowPunct/>
        <w:topLinePunct w:val="0"/>
        <w:autoSpaceDE w:val="0"/>
        <w:autoSpaceDN w:val="0"/>
        <w:bidi w:val="0"/>
        <w:adjustRightInd/>
        <w:snapToGrid/>
        <w:ind w:left="960" w:leftChars="400" w:right="960" w:rightChars="400"/>
        <w:jc w:val="left"/>
        <w:textAlignment w:val="auto"/>
        <w:rPr>
          <w:rFonts w:hint="default"/>
          <w:b/>
          <w:bCs/>
          <w:sz w:val="32"/>
          <w:szCs w:val="32"/>
          <w:lang w:val="en-US" w:eastAsia="zh-CN"/>
        </w:rPr>
      </w:pPr>
      <w:r>
        <w:rPr>
          <w:rFonts w:hint="eastAsia"/>
          <w:b/>
          <w:bCs/>
          <w:sz w:val="32"/>
          <w:szCs w:val="32"/>
          <w:lang w:val="en-US" w:eastAsia="zh-CN"/>
        </w:rPr>
        <w:t>出租方：</w:t>
      </w:r>
      <w:r>
        <w:rPr>
          <w:rFonts w:hint="eastAsia"/>
          <w:b/>
          <w:bCs/>
          <w:sz w:val="32"/>
          <w:szCs w:val="32"/>
          <w:u w:val="single"/>
          <w:lang w:val="en-US" w:eastAsia="zh-CN"/>
        </w:rPr>
        <w:t xml:space="preserve">                              </w:t>
      </w:r>
    </w:p>
    <w:p w14:paraId="359CAF63">
      <w:pPr>
        <w:pStyle w:val="2"/>
        <w:keepNext w:val="0"/>
        <w:keepLines w:val="0"/>
        <w:pageBreakBefore w:val="0"/>
        <w:widowControl w:val="0"/>
        <w:kinsoku/>
        <w:wordWrap/>
        <w:overflowPunct/>
        <w:topLinePunct w:val="0"/>
        <w:autoSpaceDE w:val="0"/>
        <w:autoSpaceDN w:val="0"/>
        <w:bidi w:val="0"/>
        <w:adjustRightInd/>
        <w:snapToGrid/>
        <w:ind w:left="960" w:leftChars="400" w:right="960" w:rightChars="400"/>
        <w:jc w:val="left"/>
        <w:textAlignment w:val="auto"/>
        <w:rPr>
          <w:rFonts w:hint="eastAsia"/>
          <w:b/>
          <w:bCs/>
          <w:sz w:val="32"/>
          <w:szCs w:val="32"/>
          <w:lang w:val="en-US" w:eastAsia="zh-CN"/>
        </w:rPr>
      </w:pPr>
      <w:r>
        <w:rPr>
          <w:rFonts w:hint="eastAsia"/>
          <w:b/>
          <w:bCs/>
          <w:sz w:val="32"/>
          <w:szCs w:val="32"/>
          <w:lang w:val="en-US" w:eastAsia="zh-CN"/>
        </w:rPr>
        <w:t>承租方：</w:t>
      </w:r>
      <w:r>
        <w:rPr>
          <w:rFonts w:hint="eastAsia"/>
          <w:b/>
          <w:bCs/>
          <w:sz w:val="32"/>
          <w:szCs w:val="32"/>
          <w:u w:val="single"/>
          <w:lang w:val="en-US" w:eastAsia="zh-CN"/>
        </w:rPr>
        <w:t>西安市城市管理综合行政执法支队</w:t>
      </w:r>
    </w:p>
    <w:p w14:paraId="129BC55D">
      <w:pPr>
        <w:pStyle w:val="2"/>
        <w:jc w:val="left"/>
        <w:rPr>
          <w:rFonts w:hint="eastAsia"/>
          <w:b/>
          <w:bCs/>
          <w:sz w:val="32"/>
          <w:szCs w:val="32"/>
          <w:lang w:val="en-US" w:eastAsia="zh-CN"/>
        </w:rPr>
      </w:pPr>
    </w:p>
    <w:p w14:paraId="720F21D0">
      <w:pPr>
        <w:pStyle w:val="2"/>
        <w:jc w:val="center"/>
        <w:rPr>
          <w:rFonts w:hint="eastAsia"/>
          <w:b/>
          <w:bCs/>
          <w:sz w:val="32"/>
          <w:szCs w:val="32"/>
          <w:lang w:val="en-US" w:eastAsia="zh-CN"/>
        </w:rPr>
      </w:pPr>
      <w:r>
        <w:rPr>
          <w:rFonts w:hint="eastAsia"/>
          <w:b/>
          <w:bCs/>
          <w:sz w:val="32"/>
          <w:szCs w:val="32"/>
          <w:lang w:val="en-US" w:eastAsia="zh-CN"/>
        </w:rPr>
        <w:t>中国  西安</w:t>
      </w:r>
    </w:p>
    <w:p w14:paraId="284DDEAD">
      <w:pPr>
        <w:pStyle w:val="2"/>
        <w:keepNext w:val="0"/>
        <w:keepLines w:val="0"/>
        <w:pageBreakBefore w:val="0"/>
        <w:widowControl w:val="0"/>
        <w:kinsoku/>
        <w:wordWrap/>
        <w:overflowPunct/>
        <w:topLinePunct w:val="0"/>
        <w:autoSpaceDE w:val="0"/>
        <w:autoSpaceDN w:val="0"/>
        <w:bidi w:val="0"/>
        <w:adjustRightInd/>
        <w:snapToGrid/>
        <w:spacing w:after="0" w:afterLines="0"/>
        <w:jc w:val="both"/>
        <w:textAlignment w:val="auto"/>
        <w:rPr>
          <w:rFonts w:hint="eastAsia" w:ascii="仿宋" w:hAnsi="仿宋" w:eastAsia="仿宋" w:cs="仿宋"/>
          <w:b/>
          <w:bCs/>
          <w:sz w:val="32"/>
          <w:szCs w:val="32"/>
          <w:lang w:val="en-US" w:eastAsia="zh-CN"/>
        </w:rPr>
        <w:sectPr>
          <w:pgSz w:w="11906" w:h="16838"/>
          <w:pgMar w:top="1440" w:right="1800" w:bottom="1440" w:left="1800" w:header="851" w:footer="992" w:gutter="0"/>
          <w:cols w:space="425" w:num="1"/>
          <w:docGrid w:type="lines" w:linePitch="312" w:charSpace="0"/>
        </w:sectPr>
      </w:pPr>
    </w:p>
    <w:p w14:paraId="67424E84">
      <w:pPr>
        <w:pStyle w:val="2"/>
        <w:keepNext w:val="0"/>
        <w:keepLines w:val="0"/>
        <w:pageBreakBefore w:val="0"/>
        <w:widowControl w:val="0"/>
        <w:kinsoku/>
        <w:wordWrap/>
        <w:overflowPunct/>
        <w:topLinePunct w:val="0"/>
        <w:autoSpaceDE w:val="0"/>
        <w:autoSpaceDN w:val="0"/>
        <w:bidi w:val="0"/>
        <w:adjustRightInd/>
        <w:snapToGrid/>
        <w:spacing w:after="0" w:afterLines="0"/>
        <w:jc w:val="both"/>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出租方:</w:t>
      </w:r>
      <w:r>
        <w:rPr>
          <w:rFonts w:hint="eastAsia" w:ascii="仿宋" w:hAnsi="仿宋" w:eastAsia="仿宋" w:cs="仿宋"/>
          <w:b/>
          <w:bCs/>
          <w:sz w:val="32"/>
          <w:szCs w:val="32"/>
          <w:u w:val="single"/>
          <w:lang w:val="en-US" w:eastAsia="zh-CN"/>
        </w:rPr>
        <w:t xml:space="preserve">                              </w:t>
      </w:r>
    </w:p>
    <w:p w14:paraId="43AA11C1">
      <w:pPr>
        <w:pStyle w:val="2"/>
        <w:keepNext w:val="0"/>
        <w:keepLines w:val="0"/>
        <w:pageBreakBefore w:val="0"/>
        <w:widowControl w:val="0"/>
        <w:kinsoku/>
        <w:wordWrap/>
        <w:overflowPunct/>
        <w:topLinePunct w:val="0"/>
        <w:autoSpaceDE w:val="0"/>
        <w:autoSpaceDN w:val="0"/>
        <w:bidi w:val="0"/>
        <w:adjustRightInd/>
        <w:snapToGrid/>
        <w:spacing w:after="0" w:afterLines="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承租方:</w:t>
      </w:r>
      <w:r>
        <w:rPr>
          <w:rFonts w:hint="eastAsia" w:ascii="仿宋" w:hAnsi="仿宋" w:eastAsia="仿宋" w:cs="仿宋"/>
          <w:b/>
          <w:bCs/>
          <w:sz w:val="32"/>
          <w:szCs w:val="32"/>
          <w:u w:val="single"/>
          <w:lang w:val="en-US" w:eastAsia="zh-CN"/>
        </w:rPr>
        <w:t>西安市城市管理综合行政执法支队</w:t>
      </w:r>
    </w:p>
    <w:p w14:paraId="2E18250C">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中华人民共和国民政府采购法》《中华人民共和国民法典》及相关法律法规，本着和平友好、互利共赢的原则，经双方协商一致，就承租方承租出租方位于碑林区兴庆路218号陕西省荣军招待所内东楼四层十一间、三层八间共计十九间客房的租赁事宜，达成如下约定。</w:t>
      </w:r>
    </w:p>
    <w:p w14:paraId="5BDD6CD4">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一、租赁期限</w:t>
      </w:r>
    </w:p>
    <w:p w14:paraId="7A1F171F">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自2026年1月1日至2026年12月31日止。（租用合同为一年，考虑到后续办公用房将调整的实际，如市机关事务服务中心安排有合适地点，按照党政机关办公用房管理要求可提前终止合同，并腾退搬迁）。合同期限届满前一个月，如承租方望继续租赁上述房屋的，经双方共同协商签署续租合同，如未续签合同，承租方应于合同期限届满前搬离出租方房屋，并将房屋恢复原状。</w:t>
      </w:r>
    </w:p>
    <w:p w14:paraId="67063061">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二、房屋信息</w:t>
      </w:r>
    </w:p>
    <w:p w14:paraId="2868FE93">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1、用于租赁的房屋基本情况如下:</w:t>
      </w:r>
    </w:p>
    <w:p w14:paraId="2C5CC68E">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房屋位置:西安市碑林区兴庆路 218 号陕西省荣军招待所东楼。</w:t>
      </w:r>
    </w:p>
    <w:p w14:paraId="5062EF23">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房屋结构:共地上两层。</w:t>
      </w:r>
    </w:p>
    <w:p w14:paraId="7C14BF6A">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房屋建筑面积:约410平米。</w:t>
      </w:r>
    </w:p>
    <w:p w14:paraId="232C3EEE">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房屋产权人：</w:t>
      </w:r>
    </w:p>
    <w:p w14:paraId="4AF0C4B3">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三、租赁费用</w:t>
      </w:r>
    </w:p>
    <w:p w14:paraId="65A051B6">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办公房屋租赁费用总价：</w:t>
      </w:r>
      <w:r>
        <w:rPr>
          <w:rFonts w:hint="eastAsia" w:ascii="仿宋" w:hAnsi="仿宋" w:eastAsia="仿宋" w:cs="仿宋"/>
          <w:b w:val="0"/>
          <w:bCs w:val="0"/>
          <w:sz w:val="32"/>
          <w:szCs w:val="32"/>
          <w:u w:val="single"/>
          <w:lang w:val="en-US" w:eastAsia="zh-CN"/>
        </w:rPr>
        <w:t xml:space="preserve">       </w:t>
      </w:r>
      <w:r>
        <w:rPr>
          <w:rFonts w:hint="eastAsia" w:ascii="仿宋" w:hAnsi="仿宋" w:eastAsia="仿宋" w:cs="仿宋"/>
          <w:b w:val="0"/>
          <w:bCs w:val="0"/>
          <w:sz w:val="32"/>
          <w:szCs w:val="32"/>
          <w:lang w:val="en-US" w:eastAsia="zh-CN"/>
        </w:rPr>
        <w:t>元(大写：</w:t>
      </w:r>
      <w:r>
        <w:rPr>
          <w:rFonts w:hint="eastAsia" w:ascii="仿宋" w:hAnsi="仿宋" w:eastAsia="仿宋" w:cs="仿宋"/>
          <w:b w:val="0"/>
          <w:bCs w:val="0"/>
          <w:sz w:val="32"/>
          <w:szCs w:val="32"/>
          <w:u w:val="single"/>
          <w:lang w:val="en-US" w:eastAsia="zh-CN"/>
        </w:rPr>
        <w:t xml:space="preserve">        </w:t>
      </w:r>
      <w:r>
        <w:rPr>
          <w:rFonts w:hint="eastAsia" w:ascii="仿宋" w:hAnsi="仿宋" w:eastAsia="仿宋" w:cs="仿宋"/>
          <w:b w:val="0"/>
          <w:bCs w:val="0"/>
          <w:sz w:val="32"/>
          <w:szCs w:val="32"/>
          <w:lang w:val="en-US" w:eastAsia="zh-CN"/>
        </w:rPr>
        <w:t>)折合办公用房租金：</w:t>
      </w:r>
      <w:r>
        <w:rPr>
          <w:rFonts w:hint="eastAsia" w:ascii="仿宋" w:hAnsi="仿宋" w:eastAsia="仿宋" w:cs="仿宋"/>
          <w:b w:val="0"/>
          <w:bCs w:val="0"/>
          <w:sz w:val="32"/>
          <w:szCs w:val="32"/>
          <w:u w:val="single"/>
          <w:lang w:val="en-US" w:eastAsia="zh-CN"/>
        </w:rPr>
        <w:t xml:space="preserve">       </w:t>
      </w:r>
      <w:r>
        <w:rPr>
          <w:rFonts w:hint="eastAsia" w:ascii="仿宋" w:hAnsi="仿宋" w:eastAsia="仿宋" w:cs="仿宋"/>
          <w:b w:val="0"/>
          <w:bCs w:val="0"/>
          <w:sz w:val="32"/>
          <w:szCs w:val="32"/>
          <w:lang w:val="en-US" w:eastAsia="zh-CN"/>
        </w:rPr>
        <w:t>元/月(大写：</w:t>
      </w:r>
      <w:r>
        <w:rPr>
          <w:rFonts w:hint="eastAsia" w:ascii="仿宋" w:hAnsi="仿宋" w:eastAsia="仿宋" w:cs="仿宋"/>
          <w:b w:val="0"/>
          <w:bCs w:val="0"/>
          <w:sz w:val="32"/>
          <w:szCs w:val="32"/>
          <w:u w:val="single"/>
          <w:lang w:val="en-US" w:eastAsia="zh-CN"/>
        </w:rPr>
        <w:t xml:space="preserve">        </w:t>
      </w:r>
      <w:r>
        <w:rPr>
          <w:rFonts w:hint="eastAsia" w:ascii="仿宋" w:hAnsi="仿宋" w:eastAsia="仿宋" w:cs="仿宋"/>
          <w:b w:val="0"/>
          <w:bCs w:val="0"/>
          <w:sz w:val="32"/>
          <w:szCs w:val="32"/>
          <w:lang w:val="en-US" w:eastAsia="zh-CN"/>
        </w:rPr>
        <w:t>)</w:t>
      </w:r>
    </w:p>
    <w:p w14:paraId="78B50427">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房租费含房屋租赁费、水费、电费、暖气费、空调费、物业费等，合同签订后一个月内承租方按半年付方式向出租方交纳房屋上半年即2026年1月1日至2026年6月30日的租金;下半年即2026年7月1日至2026年12月31日租金，考虑到后续办公用房将调整的实际，承租方应提前一个月告知出租方，下半年租金最终以实际消耗月份结清房屋租赁费。出租方需先向承租方出具同等金额的增值税普通发票，承租方在收到发票后支付。</w:t>
      </w:r>
    </w:p>
    <w:p w14:paraId="1273B315">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四、服务内容</w:t>
      </w:r>
    </w:p>
    <w:p w14:paraId="468F663B">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1.承租方在租赁期间要遵守出租方的有关制度,不得随意改变房屋结构和用途；承租方应加强安全防范意识，防火、防盗配合出租方做好各项安全工作。</w:t>
      </w:r>
    </w:p>
    <w:p w14:paraId="73F51048">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2.房间若出现渗水、漏水、电路不畅(含空调、电器原件)等问题,由出租方负责维修，承租方人为原因造成的房屋或设备损失出租方维修，承租方支付维修费用。</w:t>
      </w:r>
    </w:p>
    <w:p w14:paraId="299A953A">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3.夏季空调开放从6月15日至9月15日止。承租方应加强用电管理,不得高负荷用电(如用电炉子等),养成节约的好习惯，冬季暖气(供暖时间随出租方时间进行)。</w:t>
      </w:r>
    </w:p>
    <w:p w14:paraId="108855C8">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4.出租方给承租方免费提供院内6-8个停车位。</w:t>
      </w:r>
    </w:p>
    <w:p w14:paraId="02CA0126">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5.出租方给承租方免费提供一线执法队员洗浴用水。</w:t>
      </w:r>
    </w:p>
    <w:p w14:paraId="283E43E3">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6.出租方必须保证承租方正常的工作环境和办公秩序。</w:t>
      </w:r>
    </w:p>
    <w:p w14:paraId="21E11DE7">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7.合同签订后,双方应严格按照合同办事。由于国家政策变化、拆迁改造、自然灾害及不可抗力等因素而影响合同履行时,本合同经双方协商一致后解除。</w:t>
      </w:r>
    </w:p>
    <w:p w14:paraId="53A203D0">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五、违约责任</w:t>
      </w:r>
    </w:p>
    <w:p w14:paraId="685806C2">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1.出租方未按合同规定的时间将房屋交与承租方使用每逾期一天，按房屋租金总额的千分之三向承租方支付违约金;</w:t>
      </w:r>
    </w:p>
    <w:p w14:paraId="0BD1C508">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w:t>
      </w:r>
      <w:bookmarkStart w:id="0" w:name="_GoBack"/>
      <w:r>
        <w:rPr>
          <w:rFonts w:hint="eastAsia" w:ascii="仿宋" w:hAnsi="仿宋" w:eastAsia="仿宋" w:cs="仿宋"/>
          <w:b w:val="0"/>
          <w:bCs w:val="0"/>
          <w:sz w:val="32"/>
          <w:szCs w:val="32"/>
          <w:lang w:val="en-US" w:eastAsia="zh-CN"/>
        </w:rPr>
        <w:t>承租方</w:t>
      </w:r>
      <w:bookmarkEnd w:id="0"/>
      <w:r>
        <w:rPr>
          <w:rFonts w:hint="eastAsia" w:ascii="仿宋" w:hAnsi="仿宋" w:eastAsia="仿宋" w:cs="仿宋"/>
          <w:b w:val="0"/>
          <w:bCs w:val="0"/>
          <w:sz w:val="32"/>
          <w:szCs w:val="32"/>
          <w:lang w:val="en-US" w:eastAsia="zh-CN"/>
        </w:rPr>
        <w:t>未按合同规定的时间向出租方支付租金，每逾期一天，按房屋租金总额的千分之三向出租方支付违约金;不按合同规定支付租金达一个月的，出租方有权解除本合同，承租方应于收到出租方书面解除合同通知后3日内搬离，并承担违约责任。</w:t>
      </w:r>
    </w:p>
    <w:p w14:paraId="2E1B6621">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3.在合同规定的租赁期限内，出租方提前收回承租方正在使用的房屋，出租方必须如数退还承租方剩余租金，并向承租方支付一个月的租金作为违约金。</w:t>
      </w:r>
    </w:p>
    <w:p w14:paraId="4DCDDB55">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4.在合同规定的期限，若承租方不再承租使用出租方的房屋，承租方必须提前二个月通知出租方，并自通知之日起向出租方交付一个月的租金，作为承租方的违约金。</w:t>
      </w:r>
    </w:p>
    <w:p w14:paraId="4F880091">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5.若租赁的房屋在租赁期间房屋主体存在安全隐患不能正常使用，承租方有权终止合同并要求退还剩余房款。</w:t>
      </w:r>
    </w:p>
    <w:p w14:paraId="70D8D119">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承租方未经出租方同意擅自将房屋转租第三人使用或从事与用房性质不相符的活动或造成房屋损坏的，出租方有权单方解除合同收回房屋，承租方应在收到解除通知后一个月内搬离，否则出租方有权处理房屋内的一切物品，并要求承租方支付三个月房租作为违约金。如给出租方造成任何损失，承租方应当承担赔偿责任。</w:t>
      </w:r>
    </w:p>
    <w:p w14:paraId="0EB385F6">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7.合同到期后承租方未按照合同约定期限搬离的，每延期一日按照日租金三倍支付违约金。</w:t>
      </w:r>
    </w:p>
    <w:p w14:paraId="3C821BA3">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六、出租方的权利和义务</w:t>
      </w:r>
    </w:p>
    <w:p w14:paraId="3146C2E3">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1.出租方对承租方的工作进行监督检查，有问题及时提出双方协商解决。</w:t>
      </w:r>
    </w:p>
    <w:p w14:paraId="5F568BB7">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2.出租方做好物业管理区域内的安全防范工作，发生安全事故时，在采取应急措施的同时，及时向有关行政管理部门报告，协助做好救助工作。</w:t>
      </w:r>
    </w:p>
    <w:p w14:paraId="66E03CA5">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3.出租方管理服务制度及相关法律法规，物业管理服务,合理使用并保护服务区域内的公共物品及设施。</w:t>
      </w:r>
    </w:p>
    <w:p w14:paraId="573BC4D5">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4.出租方不得干涉承租方的内部管理，可提供建设性建议。</w:t>
      </w:r>
    </w:p>
    <w:p w14:paraId="0B138699">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5.出租方提供所有维修事项的备品备件并负责免费维修。</w:t>
      </w:r>
    </w:p>
    <w:p w14:paraId="5178DAFB">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6.法律、法规等规定的其他权利和义务。</w:t>
      </w:r>
    </w:p>
    <w:p w14:paraId="138EAD29">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七、承租方的权利和义务</w:t>
      </w:r>
    </w:p>
    <w:p w14:paraId="46DA8B96">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1.依照有关规定和本合同约定，管理服务制度，遵守出租方服务管理。</w:t>
      </w:r>
    </w:p>
    <w:p w14:paraId="22098B22">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2.承租方有权要求出租方配合其办公区域管理服务。</w:t>
      </w:r>
    </w:p>
    <w:p w14:paraId="14B6FD68">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3.承租方在承租期间内，不得影响出租方正常营业及办公。</w:t>
      </w:r>
    </w:p>
    <w:p w14:paraId="3D8E385B">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4.承租方应要求员工在办公区域工作中必须严格遵守劳动安全操作的有关规定。因员工违反或不遵守劳动安全操作规定而造成的伤亡事故，一切后果由承租方和肇事者自行承担。</w:t>
      </w:r>
    </w:p>
    <w:p w14:paraId="0E63E35B">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5.承租方应合理使用并爱护该房屋及其附属设施。因承租方保管不当或不合理使用，致使该房屋及其附属设施发生损坏或故障的，承租方负责维修或承担赔偿责任。如承租方拒不维修或不承担赔偿责任的，出租方可代为维修或购置新物，费用由承租方承担。</w:t>
      </w:r>
    </w:p>
    <w:p w14:paraId="6DD00999">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6.在承租方承租使用期间，如马桶、水龙头、空调、灯具淋浴设施损坏由出租方进行维修，费用由承租方按实际费用支付于出租方。对于该房屋及其附属设施因自然属性或合理使用而导致的损耗，承租方不承担责任。</w:t>
      </w:r>
    </w:p>
    <w:p w14:paraId="64CD593D">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7.法律、法规等规定的其他权利和义务。</w:t>
      </w:r>
    </w:p>
    <w:p w14:paraId="62E0AA04">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八、争议解决</w:t>
      </w:r>
    </w:p>
    <w:p w14:paraId="074EAC4D">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（一）本合同在履行过程中发生的争议，由甲、乙双方当事人协商解决，协商不成的按下列第 2 种方式解决:</w:t>
      </w:r>
    </w:p>
    <w:p w14:paraId="10A9D418">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1.提交西安仲裁委员会仲裁;</w:t>
      </w:r>
    </w:p>
    <w:p w14:paraId="4B0B13B4">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2.依法向出租方所在地人民法院起诉，败诉方应承担胜诉方的所有损失，包括但不限于违约金、赔偿金、诉讼费、律师费等。</w:t>
      </w:r>
    </w:p>
    <w:p w14:paraId="051F29F7">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（二）本条款为独立条款，本合同的无效、变更、解除和终止均不影响本条款的效力。</w:t>
      </w:r>
    </w:p>
    <w:p w14:paraId="334785B1">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九、合同变更</w:t>
      </w:r>
    </w:p>
    <w:p w14:paraId="727661ED">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在合同的执行期内，双方均不得随意变更或解除合同如因项目需求情况发生变化，需要项目变更的，应双方协商后签订项目变更协议，确认后生效(如双方变更事项不能达成一致的，仍按原合同履行，否则视为违约)。</w:t>
      </w:r>
    </w:p>
    <w:p w14:paraId="024F1B46">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十、合同生效</w:t>
      </w:r>
    </w:p>
    <w:p w14:paraId="5DF16EEC">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本合同一式柒份，出租方持肆份，承租方持参份，双方签字盖章后生效，合同执行完毕后，自动失效 (合同的服务承诺则长期有效)。</w:t>
      </w:r>
    </w:p>
    <w:p w14:paraId="610E19F5">
      <w:pPr>
        <w:pStyle w:val="2"/>
        <w:keepNext w:val="0"/>
        <w:keepLines w:val="0"/>
        <w:pageBreakBefore w:val="0"/>
        <w:widowControl w:val="0"/>
        <w:kinsoku/>
        <w:wordWrap/>
        <w:overflowPunct/>
        <w:topLinePunct w:val="0"/>
        <w:autoSpaceDE w:val="0"/>
        <w:autoSpaceDN w:val="0"/>
        <w:bidi w:val="0"/>
        <w:adjustRightInd/>
        <w:snapToGrid/>
        <w:spacing w:after="0" w:afterLines="0"/>
        <w:ind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十一、其他事项</w:t>
      </w:r>
    </w:p>
    <w:p w14:paraId="7D4D958D">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(一)西安市财政局政府采购管理处在合同的履行期间以及履行期后，可以随时检查项目的执行情况，对采购标准采购内容进行调查核实，并对发现的问题进行处理。</w:t>
      </w:r>
    </w:p>
    <w:p w14:paraId="44CEE7B8">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(二)合同未尽事宜，由甲、乙双方协商确认后签订政府采购补充合同，与原合同具有同等法律效力。</w:t>
      </w:r>
    </w:p>
    <w:p w14:paraId="11A5227D">
      <w:pPr>
        <w:pStyle w:val="2"/>
        <w:keepNext w:val="0"/>
        <w:keepLines w:val="0"/>
        <w:pageBreakBefore w:val="0"/>
        <w:widowControl w:val="0"/>
        <w:kinsoku/>
        <w:wordWrap/>
        <w:overflowPunct/>
        <w:topLinePunct w:val="0"/>
        <w:autoSpaceDE w:val="0"/>
        <w:autoSpaceDN w:val="0"/>
        <w:bidi w:val="0"/>
        <w:adjustRightInd/>
        <w:snapToGrid/>
        <w:spacing w:after="0" w:afterLines="0"/>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(本页下无正文)</w:t>
      </w:r>
    </w:p>
    <w:p w14:paraId="54408C0C">
      <w:pPr>
        <w:keepNext w:val="0"/>
        <w:keepLines w:val="0"/>
        <w:pageBreakBefore w:val="0"/>
        <w:widowControl w:val="0"/>
        <w:kinsoku/>
        <w:wordWrap/>
        <w:overflowPunct/>
        <w:topLinePunct w:val="0"/>
        <w:autoSpaceDE w:val="0"/>
        <w:autoSpaceDN w:val="0"/>
        <w:bidi w:val="0"/>
        <w:adjustRightInd/>
        <w:snapToGrid/>
        <w:textAlignment w:val="auto"/>
        <w:rPr>
          <w:rFonts w:hint="eastAsia" w:ascii="仿宋" w:hAnsi="仿宋" w:eastAsia="仿宋" w:cs="仿宋"/>
          <w:b w:val="0"/>
          <w:bCs w:val="0"/>
          <w:sz w:val="32"/>
          <w:szCs w:val="32"/>
          <w:lang w:val="en-US" w:eastAsia="zh-CN"/>
        </w:rPr>
      </w:pPr>
    </w:p>
    <w:p w14:paraId="76C5E0BD">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p>
    <w:p w14:paraId="26B1309B">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出租方：                  承租方：                  </w:t>
      </w:r>
    </w:p>
    <w:p w14:paraId="287C8F24">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p>
    <w:p w14:paraId="4B9BC2F1">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地址：                    地址：                    </w:t>
      </w:r>
    </w:p>
    <w:p w14:paraId="4A4D8574">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p>
    <w:p w14:paraId="670E414B">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邮编：                    邮编：                    </w:t>
      </w:r>
    </w:p>
    <w:p w14:paraId="2CAF88F8">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法定代表人：              法定代表人：              </w:t>
      </w:r>
    </w:p>
    <w:p w14:paraId="0CB02621">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经办人：                  经办人：                  </w:t>
      </w:r>
    </w:p>
    <w:p w14:paraId="76633B83">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电话：                    电话：                    </w:t>
      </w:r>
    </w:p>
    <w:p w14:paraId="224310C1">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开户银行：                开户银行：                </w:t>
      </w:r>
    </w:p>
    <w:p w14:paraId="1B67C7E7">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p>
    <w:p w14:paraId="7F6C50E7">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账号：                    账号：                    </w:t>
      </w:r>
    </w:p>
    <w:p w14:paraId="64A2AFDC">
      <w:pPr>
        <w:pStyle w:val="2"/>
        <w:keepNext w:val="0"/>
        <w:keepLines w:val="0"/>
        <w:pageBreakBefore w:val="0"/>
        <w:widowControl w:val="0"/>
        <w:kinsoku/>
        <w:wordWrap/>
        <w:overflowPunct/>
        <w:topLinePunct w:val="0"/>
        <w:autoSpaceDE w:val="0"/>
        <w:autoSpaceDN w:val="0"/>
        <w:bidi w:val="0"/>
        <w:adjustRightInd/>
        <w:snapToGrid/>
        <w:spacing w:after="0" w:afterLines="0"/>
        <w:jc w:val="left"/>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日期：                    日期：                    </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E637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7709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3C7709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MDg2YjE3N2IwZDc0OTgxNDg3YzdmMjE5ODJiZDUifQ=="/>
  </w:docVars>
  <w:rsids>
    <w:rsidRoot w:val="0BEF190E"/>
    <w:rsid w:val="01FF1E15"/>
    <w:rsid w:val="04811B11"/>
    <w:rsid w:val="05D830A9"/>
    <w:rsid w:val="06954AF6"/>
    <w:rsid w:val="0ABA75EB"/>
    <w:rsid w:val="0BEF190E"/>
    <w:rsid w:val="0DC7755F"/>
    <w:rsid w:val="0F182768"/>
    <w:rsid w:val="0F2B249C"/>
    <w:rsid w:val="155957EC"/>
    <w:rsid w:val="15E96C0C"/>
    <w:rsid w:val="16724F92"/>
    <w:rsid w:val="17367C2F"/>
    <w:rsid w:val="191768BC"/>
    <w:rsid w:val="1D0B56BA"/>
    <w:rsid w:val="1F6C60AB"/>
    <w:rsid w:val="27174C5C"/>
    <w:rsid w:val="29183639"/>
    <w:rsid w:val="2B632B65"/>
    <w:rsid w:val="2BB243FC"/>
    <w:rsid w:val="2CC7185D"/>
    <w:rsid w:val="2DF74E76"/>
    <w:rsid w:val="2EC66F30"/>
    <w:rsid w:val="35F04FF6"/>
    <w:rsid w:val="38231065"/>
    <w:rsid w:val="3C805325"/>
    <w:rsid w:val="3D1D247A"/>
    <w:rsid w:val="42497F67"/>
    <w:rsid w:val="434A21E9"/>
    <w:rsid w:val="43F87E97"/>
    <w:rsid w:val="443609BF"/>
    <w:rsid w:val="44641089"/>
    <w:rsid w:val="47DC187E"/>
    <w:rsid w:val="48B85E47"/>
    <w:rsid w:val="4E7D722B"/>
    <w:rsid w:val="4F4D178A"/>
    <w:rsid w:val="4FC82E13"/>
    <w:rsid w:val="5540021F"/>
    <w:rsid w:val="55562C6F"/>
    <w:rsid w:val="570A5ABF"/>
    <w:rsid w:val="590C2C90"/>
    <w:rsid w:val="5BF1724E"/>
    <w:rsid w:val="5FD50655"/>
    <w:rsid w:val="60500560"/>
    <w:rsid w:val="6809591F"/>
    <w:rsid w:val="68525518"/>
    <w:rsid w:val="742859A7"/>
    <w:rsid w:val="75864A53"/>
    <w:rsid w:val="7E063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pPr>
    <w:rPr>
      <w:rFonts w:ascii="宋体" w:hAnsi="宋体" w:eastAsia="宋体" w:cs="宋体"/>
      <w:sz w:val="24"/>
      <w:szCs w:val="24"/>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after="120" w:afterLines="0" w:afterAutospacing="0"/>
    </w:pPr>
    <w:rPr>
      <w:sz w:val="16"/>
    </w:rPr>
  </w:style>
  <w:style w:type="paragraph" w:styleId="3">
    <w:name w:val="annotation text"/>
    <w:basedOn w:val="1"/>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2853</Words>
  <Characters>2922</Characters>
  <Lines>0</Lines>
  <Paragraphs>0</Paragraphs>
  <TotalTime>5</TotalTime>
  <ScaleCrop>false</ScaleCrop>
  <LinksUpToDate>false</LinksUpToDate>
  <CharactersWithSpaces>3402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2024-03-19T08:15:00Z</dcterms:created>
  <dc:creator>朱小克</dc:creator>
  <cp:lastModifiedBy>WY</cp:lastModifiedBy>
  <dcterms:modified xsi:type="dcterms:W3CDTF">2026-03-11T09:57:30Z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0937933031F745AAB40B7420C0622774</vt:lpwstr>
  </property>
  <property fmtid="{D5CDD505-2E9C-101B-9397-08002B2CF9AE}" pid="4" name="KSOTemplateDocerSaveRecord">
    <vt:lpwstr>eyJoZGlkIjoiYWJmYjM3YmI0MDBhMGU4ZjI5ODg2NGRiNGZkZjdkNTYiLCJ1c2VySWQiOiIzMTg3MTM2MDUifQ==</vt:lpwstr>
  </property>
</Properties>
</file>