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版本号：HXGJXM2026-ZC-CS100420260312001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2026年西安丝绸之路国际旅游博览会</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HXGJXM2026-ZC-CS1004</w:t>
      </w:r>
      <w:r>
        <w:br/>
      </w:r>
      <w:r>
        <w:br/>
      </w:r>
      <w:r>
        <w:br/>
      </w:r>
    </w:p>
    <w:p>
      <w:pPr>
        <w:pStyle w:val="null3"/>
        <w:jc w:val="center"/>
        <w:outlineLvl w:val="2"/>
      </w:pPr>
      <w:r>
        <w:rPr>
          <w:rFonts w:ascii="仿宋_GB2312" w:hAnsi="仿宋_GB2312" w:cs="仿宋_GB2312" w:eastAsia="仿宋_GB2312"/>
          <w:sz w:val="28"/>
          <w:b/>
        </w:rPr>
        <w:t>西安市文化和旅游局（本级）</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西安市文化和旅游局（本级）</w:t>
      </w:r>
      <w:r>
        <w:rPr>
          <w:rFonts w:ascii="仿宋_GB2312" w:hAnsi="仿宋_GB2312" w:cs="仿宋_GB2312" w:eastAsia="仿宋_GB2312"/>
        </w:rPr>
        <w:t>委托，拟对</w:t>
      </w:r>
      <w:r>
        <w:rPr>
          <w:rFonts w:ascii="仿宋_GB2312" w:hAnsi="仿宋_GB2312" w:cs="仿宋_GB2312" w:eastAsia="仿宋_GB2312"/>
        </w:rPr>
        <w:t>2026年西安丝绸之路国际旅游博览会</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HXGJXM2026-ZC-CS1004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2026年西安丝绸之路国际旅游博览会</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2026年西安丝绸之路国际旅游博览会</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采购包1（2026年西安丝绸之路国际旅游博览会）：属于专门面向中小企业采购。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附法定代表人､被授权人身份证复印件及被授权人磋商截止日前一年内已缴存的至少一个月的社会保障资金凭证),法定代表人直接参加磋商,须提供法定代表人身份证明及身份证复印件;</w:t>
      </w:r>
    </w:p>
    <w:p>
      <w:pPr>
        <w:pStyle w:val="null3"/>
      </w:pPr>
      <w:r>
        <w:rPr>
          <w:rFonts w:ascii="仿宋_GB2312" w:hAnsi="仿宋_GB2312" w:cs="仿宋_GB2312" w:eastAsia="仿宋_GB2312"/>
        </w:rPr>
        <w:t>2、信用记录：供应商应在磋商截止日前未被列入失信被执行人､重大税收违法失信主体､政府采购严重违法失信行为记录名单(处罚期限届满的除外)(以“信用中国”网站(www.creditchina.gov.cn)或中国政府采购网(www.ccgp.gov.cn)查询结果为准;(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pPr>
        <w:pStyle w:val="null3"/>
      </w:pPr>
      <w:r>
        <w:rPr>
          <w:rFonts w:ascii="仿宋_GB2312" w:hAnsi="仿宋_GB2312" w:cs="仿宋_GB2312" w:eastAsia="仿宋_GB2312"/>
        </w:rPr>
        <w:t>3、联合体：本项目不接受联合体磋商。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西安市文化和旅游局（本级）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029-67097595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西安市莲湖区二环南路西段202号九座花园16层1605室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王攀宏､康敏茹､张宝育､张艳萍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029-88899970/72/73/75-802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和国家发展和改革委员会办公厅颁发的《关于招标代理服务收费有关问题的通知》(发改办价格[2003]857号)的有关规定执行｡ 2.招标代理服务费由中标供应商支付,在领取《中标通知书》前,由中标供应商一次性支付给华夏国际项目管理（西安）有限公司｡ 3.招标代理服务费账户 户名：华夏国际项目管理（西安）有限公司第一分公司 开户行：中国光大银行股份有限公司西安科技六路支行 账号：78620188000199459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西安市文化和旅游局（本级）</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西安市文化和旅游局（本级）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西安市文化和旅游局（本级）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1.活动开始前验收： 2026年4月16日，由采购人和成交供应商共同对活动筹备工作进行验收，检查各项筹备工作落实情况，验收合格后，填写筹备工作验收单。 2.活动完成后验收： 2026年4月19日，活动完成后，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联系人：王攀宏､康敏茹､张宝育､张艳萍</w:t>
      </w:r>
    </w:p>
    <w:p>
      <w:pPr>
        <w:pStyle w:val="null3"/>
      </w:pPr>
      <w:r>
        <w:rPr>
          <w:rFonts w:ascii="仿宋_GB2312" w:hAnsi="仿宋_GB2312" w:cs="仿宋_GB2312" w:eastAsia="仿宋_GB2312"/>
        </w:rPr>
        <w:t>联系电话：029-88899970/72/73/75-802</w:t>
      </w:r>
    </w:p>
    <w:p>
      <w:pPr>
        <w:pStyle w:val="null3"/>
      </w:pPr>
      <w:r>
        <w:rPr>
          <w:rFonts w:ascii="仿宋_GB2312" w:hAnsi="仿宋_GB2312" w:cs="仿宋_GB2312" w:eastAsia="仿宋_GB2312"/>
        </w:rPr>
        <w:t>地址：西安市莲湖区二环南路西段202号九座花园16层1605室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2026年西安丝绸之路国际旅游博览会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2026西安丝绸之路国际旅游博览会</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标的名称：2026西安丝绸之路国际旅游博览会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ind w:firstLine="400"/>
            </w:pPr>
            <w:r>
              <w:rPr>
                <w:rFonts w:ascii="仿宋_GB2312" w:hAnsi="仿宋_GB2312" w:cs="仿宋_GB2312" w:eastAsia="仿宋_GB2312"/>
              </w:rPr>
              <w:t>按照陕西省文化和旅游厅工作安排，</w:t>
            </w:r>
            <w:r>
              <w:rPr>
                <w:rFonts w:ascii="仿宋_GB2312" w:hAnsi="仿宋_GB2312" w:cs="仿宋_GB2312" w:eastAsia="仿宋_GB2312"/>
              </w:rPr>
              <w:t>2026西安丝绸之路国际旅游博览会将于4月17日至19日在西安国际会展中心举办，西安市文化和旅游局拟在大会期间设置面积不小于216 m²的综合展厅，重点展示特色旅游资源和精品项目。同时，在西安市旅游消费聚集区设置1个分会场，开展形式多样的旅游宣传推广促销活动。</w:t>
            </w:r>
          </w:p>
          <w:p>
            <w:pPr>
              <w:pStyle w:val="null3"/>
            </w:pPr>
            <w:r>
              <w:rPr>
                <w:rFonts w:ascii="仿宋_GB2312" w:hAnsi="仿宋_GB2312" w:cs="仿宋_GB2312" w:eastAsia="仿宋_GB2312"/>
              </w:rPr>
              <w:t>活动时间：</w:t>
            </w:r>
            <w:r>
              <w:rPr>
                <w:rFonts w:ascii="仿宋_GB2312" w:hAnsi="仿宋_GB2312" w:cs="仿宋_GB2312" w:eastAsia="仿宋_GB2312"/>
              </w:rPr>
              <w:t>2026年4月17日至19日</w:t>
            </w:r>
          </w:p>
          <w:p>
            <w:pPr>
              <w:pStyle w:val="null3"/>
            </w:pPr>
            <w:r>
              <w:rPr>
                <w:rFonts w:ascii="仿宋_GB2312" w:hAnsi="仿宋_GB2312" w:cs="仿宋_GB2312" w:eastAsia="仿宋_GB2312"/>
              </w:rPr>
              <w:t>活动地点：西安国际会展中心</w:t>
            </w:r>
            <w:r>
              <w:rPr>
                <w:rFonts w:ascii="仿宋_GB2312" w:hAnsi="仿宋_GB2312" w:cs="仿宋_GB2312" w:eastAsia="仿宋_GB2312"/>
              </w:rPr>
              <w:t>1号馆、西安市旅游消费聚集区</w:t>
            </w:r>
          </w:p>
          <w:p>
            <w:pPr>
              <w:pStyle w:val="null3"/>
            </w:pPr>
            <w:r>
              <w:rPr>
                <w:rFonts w:ascii="仿宋_GB2312" w:hAnsi="仿宋_GB2312" w:cs="仿宋_GB2312" w:eastAsia="仿宋_GB2312"/>
              </w:rPr>
              <w:t>二、服务内容</w:t>
            </w:r>
          </w:p>
          <w:p>
            <w:pPr>
              <w:pStyle w:val="null3"/>
              <w:ind w:firstLine="400"/>
            </w:pPr>
            <w:r>
              <w:rPr>
                <w:rFonts w:ascii="仿宋_GB2312" w:hAnsi="仿宋_GB2312" w:cs="仿宋_GB2312" w:eastAsia="仿宋_GB2312"/>
              </w:rPr>
              <w:t>设计策划、布展搭建、设备租赁等。</w:t>
            </w:r>
          </w:p>
          <w:p>
            <w:pPr>
              <w:pStyle w:val="null3"/>
            </w:pPr>
            <w:r>
              <w:rPr>
                <w:rFonts w:ascii="仿宋_GB2312" w:hAnsi="仿宋_GB2312" w:cs="仿宋_GB2312" w:eastAsia="仿宋_GB2312"/>
              </w:rPr>
              <w:t>三、服务要求</w:t>
            </w:r>
          </w:p>
          <w:p>
            <w:pPr>
              <w:pStyle w:val="null3"/>
              <w:ind w:firstLine="400"/>
            </w:pPr>
            <w:r>
              <w:rPr>
                <w:rFonts w:ascii="仿宋_GB2312" w:hAnsi="仿宋_GB2312" w:cs="仿宋_GB2312" w:eastAsia="仿宋_GB2312"/>
              </w:rPr>
              <w:t>在服务范围内按工作内容和要求制定科学、合理、可靠</w:t>
            </w:r>
            <w:r>
              <w:rPr>
                <w:rFonts w:ascii="仿宋_GB2312" w:hAnsi="仿宋_GB2312" w:cs="仿宋_GB2312" w:eastAsia="仿宋_GB2312"/>
              </w:rPr>
              <w:t>、</w:t>
            </w:r>
            <w:r>
              <w:rPr>
                <w:rFonts w:ascii="仿宋_GB2312" w:hAnsi="仿宋_GB2312" w:cs="仿宋_GB2312" w:eastAsia="仿宋_GB2312"/>
              </w:rPr>
              <w:t>详细的服务方案。针对本项目成立专项服务小组，项目负责人、工作人员分工明确</w:t>
            </w:r>
            <w:r>
              <w:rPr>
                <w:rFonts w:ascii="仿宋_GB2312" w:hAnsi="仿宋_GB2312" w:cs="仿宋_GB2312" w:eastAsia="仿宋_GB2312"/>
              </w:rPr>
              <w:t>(应有具体成员名单，包括姓名、工作职责等)。有各类突发事件的应急预案和措施，有明确具体的承诺。供应商所拟派的工作人员，若在服务期间发生任何伤害，采购人概不负责，由供应商自行处理。具体服务要求如下：</w:t>
            </w:r>
          </w:p>
          <w:p>
            <w:pPr>
              <w:pStyle w:val="null3"/>
            </w:pPr>
            <w:r>
              <w:rPr>
                <w:rFonts w:ascii="仿宋_GB2312" w:hAnsi="仿宋_GB2312" w:cs="仿宋_GB2312" w:eastAsia="仿宋_GB2312"/>
              </w:rPr>
              <w:t>(一)展厅围绕大会主题，展现西安历史文化与现代共生，数字科技赋能西安文旅为切入点，重点展示西安市特色旅游资源和精品项目，突出我省文旅产业8条重点产业链群发展成果。</w:t>
            </w:r>
          </w:p>
          <w:p>
            <w:pPr>
              <w:pStyle w:val="null3"/>
            </w:pPr>
            <w:r>
              <w:rPr>
                <w:rFonts w:ascii="仿宋_GB2312" w:hAnsi="仿宋_GB2312" w:cs="仿宋_GB2312" w:eastAsia="仿宋_GB2312"/>
              </w:rPr>
              <w:t>(二)分会场设置展销摊位等，开展形式多样的旅游宣传推广促销活动。</w:t>
            </w:r>
          </w:p>
          <w:p>
            <w:pPr>
              <w:pStyle w:val="null3"/>
            </w:pPr>
            <w:r>
              <w:rPr>
                <w:rFonts w:ascii="仿宋_GB2312" w:hAnsi="仿宋_GB2312" w:cs="仿宋_GB2312" w:eastAsia="仿宋_GB2312"/>
                <w:sz w:val="21"/>
              </w:rPr>
              <w:t>(三)需提活动区域布局图、会场整体鸟瞰图及效果图、物料设计图、物料清单。会场搭建所用材料应符合国家相关规定，必须使用环保材料。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2026年4月15日至19日(含两日布展时间)。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西安国际会展中心1号馆、西安市旅游消费聚集区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1.活动开始前验收： 2026年4月16日，由采购人和成交供应商共同对活动筹备工作进行验收，检查各项筹备工作落实情况，验收合格后，填写筹备工作验收单。 2.活动完成后验收： 2026年4月19日，活动完成后，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活动结束且经甲方验收合格后，乙方向甲方开具合规等额的增值税普通发票，甲方在收到乙方开具的发票后30个工作日内付款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1.违约责任按《中华人民共和国民法典》处理中的相关条款执行。 2.乙方应按合同约定时间完成各阶段合同义务，若发生延迟，乙方应向甲方支付合同总价款10%的违约金，且甲方有权单方解除本合同。但甲方书面同意延迟或因甲方原因导致延迟的，乙方不承担违约责任。 3.如甲方未能在本合同约定时间内支付款项，每延迟一天，甲方须向乙方承担迟延支付费用的0.5‰作为违约金，并将服务周期予以相应顺延。 4.本次活动因乙方原因导致侵害甲方或第三方合法权益的，应由乙方承担相应赔偿责任，并向甲方支付合同总价款10%的违约金。 5.若乙方未经甲方同意泄露本合同约定的任何秘密信息的，乙方应按照合同总价款的10%向甲方支付违约金， 并赔偿因此给甲方造成的损失。 6.乙方保证向甲方开具发票的真实性、合法性，若乙方向甲方开具的发票存在真实性、合法性问题，给甲方造成损失的，乙方应按合同总价款的10%向甲方支付违约金，违约金不足以弥补损失的，乙方还应承担相应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1.活动进度要求：2026年4月17日开展活动，活动完成后验收。 2.合同总价包括:主场馆场地租赁费、会务费、设计费、客装管理费、会议所涉及的工具、会场布置及材料、与本项目服务有关的一切费用。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提供以下资料:1.具有独立承担民事责任能力的法人、其他组织或自然人：法人参与的提供合法有效的营业执照；其他组织参与的提供合法证明文件；自然人参与的提供其身份证明；2.财务状况证明: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3.提供具有履行合同所必需的设备和专业技术能力的承诺;4.税收缴纳证明:提供投标截止日前一年内已缴纳的至少一个月的纳税证明或完税证明,依法免税的单位应提供相关证明材料;5.社会保障资金缴纳证明:提供投标截止日前一年内已缴存的至少一个月的社会保障资金缴存单据或社保机构开具的社会保险参保缴费情况证明,依法不需要缴纳社会保障资金的单位应提供相关证明材料;6.供应商应出具参加政府采购活动前3年内在经营活动中没有重大违法记录的书面声明｡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法定代表人授权书(附法定代表人､被授权人身份证复印件及被授权人磋商截止日前一年内已缴存的至少一个月的社会保障资金凭证),法定代表人直接参加磋商,须提供法定代表人身份证明及身份证复印件;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在磋商截止日前未被列入失信被执行人､重大税收违法失信主体､政府采购严重违法失信行为记录名单(处罚期限届满的除外)(以“信用中国”网站(www.creditchina.gov.cn)或中国政府采购网(www.ccgp.gov.cn)查询结果为准;(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3.强化政府采购异常低价审查 （1）采购人应当在采购文件中明确，政府采购评审中出现下列情形之一的，评审委员会应当启动异常低价投标（响应）审查程序：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2）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60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 （3）各级财政部门应当加强对评审专家的指导和监管，进一步压实评审专家的责任。财政部门在投诉处理、监督检查中发现评审委员会未按规定对异常低价开展审查的，依法予以纠正并追究评审专家的法律责任。</w:t>
            </w:r>
          </w:p>
        </w:tc>
        <w:tc>
          <w:tcPr>
            <w:tcW w:type="dxa" w:w="1661"/>
          </w:tcPr>
          <w:p>
            <w:pPr>
              <w:pStyle w:val="null3"/>
            </w:pPr>
            <w:r>
              <w:rPr>
                <w:rFonts w:ascii="仿宋_GB2312" w:hAnsi="仿宋_GB2312" w:cs="仿宋_GB2312" w:eastAsia="仿宋_GB2312"/>
              </w:rPr>
              <w:t>开标一览表.docx 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法定代表人或被授权人的签字或盖章齐全并加盖公章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开标一览表.docx 中小企业声明函 报价表 磋商方案说明书.docx 供应商承诺书.docx 资格证明文件.docx 响应文件封面 分项报价表.docx 残疾人福利性单位声明函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开标一览表.docx 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开标一览表.docx 中小企业声明函 报价表 磋商方案说明书.docx 供应商承诺书.docx 资格证明文件.docx 响应文件封面 分项报价表.docx 残疾人福利性单位声明函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开标一览表.docx 中小企业声明函 报价表 磋商方案说明书.docx 供应商承诺书.docx 资格证明文件.docx 响应文件封面 分项报价表.docx 残疾人福利性单位声明函 标的清单 其他资料.docx 响应函 商务条款偏离表.docx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1、对项目内容、采购需求、目标要求认识全面、理解深刻到位，完全符合项目需求，得6分；2、对项目内容、采购需求、目标要求有一定认识和理解，基本符合项目需求，得4分； 3、对项目内容、采购需求有一定认识和理解，针对性不强，得2分；4、对本项目相关要求的认识、理解不深入，有偏差，得1分；5、其他或未提供不得分。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服务指标</w:t>
            </w:r>
          </w:p>
        </w:tc>
        <w:tc>
          <w:tcPr>
            <w:tcW w:type="dxa" w:w="2492"/>
          </w:tcPr>
          <w:p>
            <w:pPr>
              <w:pStyle w:val="null3"/>
            </w:pPr>
            <w:r>
              <w:rPr>
                <w:rFonts w:ascii="仿宋_GB2312" w:hAnsi="仿宋_GB2312" w:cs="仿宋_GB2312" w:eastAsia="仿宋_GB2312"/>
              </w:rPr>
              <w:t>服务指标满足及优于磋商文件服务指标得满分，一般服务要求（共5项）每负偏离1项扣2分，扣完为止。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针对本项目特点制定整体设计方案，包括但不限于：展区设计方案、分会场设计方案等。1、方案内容完善，规范性、针对性、创新性及可行性强，得12分；2、方案内容完善，有一定的针对性、可行性、创新性，得8分； 3、方案内容一般，针对性不强，得4分；4、方案内容简单笼统，缺乏针对性，得1分；5、其他或未提供不得分。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布展搭建方案</w:t>
            </w:r>
          </w:p>
        </w:tc>
        <w:tc>
          <w:tcPr>
            <w:tcW w:type="dxa" w:w="2492"/>
          </w:tcPr>
          <w:p>
            <w:pPr>
              <w:pStyle w:val="null3"/>
            </w:pPr>
            <w:r>
              <w:rPr>
                <w:rFonts w:ascii="仿宋_GB2312" w:hAnsi="仿宋_GB2312" w:cs="仿宋_GB2312" w:eastAsia="仿宋_GB2312"/>
              </w:rPr>
              <w:t>针对本项目的布展搭建方案：1、方案全面规范，逻辑严谨，技术先进，资源配置具备强针对性、可行性和创新性强，得14分； 2、方案内容完整但局部需要优化，技术措施可行但动态管理不足，资源配置，实操性一般，得10分； 3、方案内容完整但局部需要优化，技术措施较可行但动态管理不足，资源配置需要优化，实操简单，得6分； 4、方案框架基本成立但粗放，技术措施针对性弱，质量安全仅达标，资源调配待完善，得2分。 5、其他或未提供不得分。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功能布局</w:t>
            </w:r>
          </w:p>
        </w:tc>
        <w:tc>
          <w:tcPr>
            <w:tcW w:type="dxa" w:w="2492"/>
          </w:tcPr>
          <w:p>
            <w:pPr>
              <w:pStyle w:val="null3"/>
            </w:pPr>
            <w:r>
              <w:rPr>
                <w:rFonts w:ascii="仿宋_GB2312" w:hAnsi="仿宋_GB2312" w:cs="仿宋_GB2312" w:eastAsia="仿宋_GB2312"/>
              </w:rPr>
              <w:t>供应商针对本项目展位的功能布局做出合理方案：从①方案逻辑、②功能分区，动线流畅无冲突、③空间利用率、④创新性与实用性兼备等方案，满足采购人需求。满足要求得10分，每有一项缺项扣2.5分,每一项有缺陷扣0.5-2分｡ 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供应商结合本项目实际情况制定合理、可行、完整的总体进度计划及保障措施。1、进度计划及保障措施内容完整且时效性强，能够切合本项目实际情况对进度关键节点的控制和保障措施详细描述，完全满足采购要求，得6分； 2、进度计划及保障措施内容单一，基本可行，得4分； 3、进度计划及保障措施有偏差，不利于项目实施，得2分；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项目保障团队1</w:t>
            </w:r>
          </w:p>
        </w:tc>
        <w:tc>
          <w:tcPr>
            <w:tcW w:type="dxa" w:w="2492"/>
          </w:tcPr>
          <w:p>
            <w:pPr>
              <w:pStyle w:val="null3"/>
            </w:pPr>
            <w:r>
              <w:rPr>
                <w:rFonts w:ascii="仿宋_GB2312" w:hAnsi="仿宋_GB2312" w:cs="仿宋_GB2312" w:eastAsia="仿宋_GB2312"/>
              </w:rPr>
              <w:t>供应商针对本项目服务内容设置专一对接工作小组，明确对接人员及人员工作安排。1、项目团队成员配备齐全，组织架构完整，职责划分明确，拟派人数为10人（含）以上的，得5分；2、项目团队成员配备较合理，组织架构较完整，职责划分较为明确，拟派人数为5-9人的，得3分；3、项目团队成员配备单一，组织架构不够完整，责任分工不明确，得1分。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项目保障团队2</w:t>
            </w:r>
          </w:p>
        </w:tc>
        <w:tc>
          <w:tcPr>
            <w:tcW w:type="dxa" w:w="2492"/>
          </w:tcPr>
          <w:p>
            <w:pPr>
              <w:pStyle w:val="null3"/>
            </w:pPr>
            <w:r>
              <w:rPr>
                <w:rFonts w:ascii="仿宋_GB2312" w:hAnsi="仿宋_GB2312" w:cs="仿宋_GB2312" w:eastAsia="仿宋_GB2312"/>
              </w:rPr>
              <w:t>项目负责人要求：1、具有类似项目工作经验，熟悉相关政策、具有专业技术职称，得4分。2、具有类似项目工作经验或熟悉相关政策、具有专业技术职称得2分。3、未提供不得分。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服务质量保障方案：1、满足用户的服务要求；2、对完成项目所涉及的货物服务的安全、质量等方面具有详细的服务承诺。满足要求得4分，每有一项缺项扣2分,每一项有缺陷扣0.5-1.5分｡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突发事件及安全保障方案</w:t>
            </w:r>
          </w:p>
        </w:tc>
        <w:tc>
          <w:tcPr>
            <w:tcW w:type="dxa" w:w="2492"/>
          </w:tcPr>
          <w:p>
            <w:pPr>
              <w:pStyle w:val="null3"/>
            </w:pPr>
            <w:r>
              <w:rPr>
                <w:rFonts w:ascii="仿宋_GB2312" w:hAnsi="仿宋_GB2312" w:cs="仿宋_GB2312" w:eastAsia="仿宋_GB2312"/>
              </w:rPr>
              <w:t>制定合理、可行的各种突发及安全保障情况的应急及安全保障预案。1、应急及安全保障预案内容完善，应对措施全面、可行性强、考虑充分，能够确保项目顺利开展，得5分； 2、应急及安全保障预案内容基本完善，应对措施的可行性较强，考虑得当，基本能够确保项目顺利开展，得3分；3、应急及安全保障预案内容基本完善，应对措施有一定可行性，考虑不足，得1分；4、其他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为确保项目能按时按质完成，达到服务要求且能保证项目质量，并接受采购人对服务的监督及管理，提供完善的服务承诺，得4分，服务承诺内容简单2分，未提供不得分。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供应商提供自2023年01月01日至今类似业绩的证明材料（合同复印件加盖公章，以合同签订时间为准）每提供一项得2分，最高得10分，未提供不得分。注:须提供项目完整合同扫描件件,加盖公章｡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价格分统一采用低价优先法计算,即满足磋商文件要求且投标价格最低的投标报价为评标基准价,其价格分为满分｡其他供应商的价格分统一按照下列公式计算: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