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highlight w:val="none"/>
        </w:rPr>
        <w:t>商务条款响应偏差表</w:t>
      </w:r>
    </w:p>
    <w:bookmarkEnd w:id="0"/>
    <w:p w14:paraId="1A71C7B5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</w:t>
      </w:r>
    </w:p>
    <w:tbl>
      <w:tblPr>
        <w:tblStyle w:val="16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365CCF5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本项目商务条款不允许负偏离。</w:t>
      </w:r>
    </w:p>
    <w:p w14:paraId="584403D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</w:p>
    <w:p w14:paraId="4A3DED3F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3194B220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14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1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1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97474A8"/>
    <w:rsid w:val="0AB64089"/>
    <w:rsid w:val="0B4121B4"/>
    <w:rsid w:val="0BD83185"/>
    <w:rsid w:val="0C6576D1"/>
    <w:rsid w:val="0CCF741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9584A22"/>
    <w:rsid w:val="1A02767A"/>
    <w:rsid w:val="1A8C3B1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7FB5468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E5B2FBB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19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2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1758</Words>
  <Characters>2587</Characters>
  <Lines>0</Lines>
  <Paragraphs>0</Paragraphs>
  <TotalTime>0</TotalTime>
  <ScaleCrop>false</ScaleCrop>
  <LinksUpToDate>false</LinksUpToDate>
  <CharactersWithSpaces>2654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2026-03-16T01:08:41Z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F34ADE764D91496DA89458CDEE162DDD_13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