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A762">
      <w:pPr>
        <w:pStyle w:val="4"/>
        <w:bidi w:val="0"/>
        <w:rPr>
          <w:rFonts w:hint="default" w:ascii="仿宋" w:hAnsi="仿宋" w:eastAsia="仿宋" w:cs="仿宋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  <w:bookmarkStart w:id="0" w:name="_GoBack"/>
      <w:r>
        <w:rPr>
          <w:rFonts w:hint="eastAsia"/>
          <w:sz w:val="28"/>
          <w:szCs w:val="28"/>
          <w:highlight w:val="none"/>
          <w:lang w:val="en-US" w:eastAsia="zh-CN"/>
        </w:rPr>
        <w:t>投标总报价外长期优惠供应备品备件、易损件明细表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（＞500元）</w:t>
      </w:r>
      <w:bookmarkEnd w:id="0"/>
    </w:p>
    <w:p w14:paraId="3A830FFF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right"/>
        <w:outlineLvl w:val="9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单位：人民币元</w:t>
      </w:r>
    </w:p>
    <w:tbl>
      <w:tblPr>
        <w:tblStyle w:val="15"/>
        <w:tblW w:w="50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356"/>
        <w:gridCol w:w="1217"/>
        <w:gridCol w:w="974"/>
        <w:gridCol w:w="892"/>
        <w:gridCol w:w="717"/>
        <w:gridCol w:w="714"/>
        <w:gridCol w:w="714"/>
        <w:gridCol w:w="626"/>
        <w:gridCol w:w="714"/>
      </w:tblGrid>
      <w:tr w14:paraId="5401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365" w:type="pc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1CCC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793" w:type="pct"/>
            <w:tcBorders>
              <w:top w:val="single" w:color="auto" w:sz="12" w:space="0"/>
            </w:tcBorders>
            <w:noWrap w:val="0"/>
            <w:vAlign w:val="center"/>
          </w:tcPr>
          <w:p w14:paraId="2AE86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备品备件／易损件</w:t>
            </w:r>
          </w:p>
        </w:tc>
        <w:tc>
          <w:tcPr>
            <w:tcW w:w="711" w:type="pct"/>
            <w:tcBorders>
              <w:top w:val="single" w:color="auto" w:sz="12" w:space="0"/>
            </w:tcBorders>
            <w:noWrap w:val="0"/>
            <w:vAlign w:val="center"/>
          </w:tcPr>
          <w:p w14:paraId="423A7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生产企业</w:t>
            </w:r>
          </w:p>
        </w:tc>
        <w:tc>
          <w:tcPr>
            <w:tcW w:w="569" w:type="pct"/>
            <w:tcBorders>
              <w:top w:val="single" w:color="auto" w:sz="12" w:space="0"/>
            </w:tcBorders>
            <w:noWrap w:val="0"/>
            <w:vAlign w:val="center"/>
          </w:tcPr>
          <w:p w14:paraId="58B32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原产地</w:t>
            </w:r>
          </w:p>
        </w:tc>
        <w:tc>
          <w:tcPr>
            <w:tcW w:w="521" w:type="pct"/>
            <w:tcBorders>
              <w:top w:val="single" w:color="auto" w:sz="12" w:space="0"/>
            </w:tcBorders>
            <w:noWrap w:val="0"/>
            <w:vAlign w:val="center"/>
          </w:tcPr>
          <w:p w14:paraId="7470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型号规格</w:t>
            </w:r>
          </w:p>
        </w:tc>
        <w:tc>
          <w:tcPr>
            <w:tcW w:w="419" w:type="pct"/>
            <w:tcBorders>
              <w:top w:val="single" w:color="auto" w:sz="12" w:space="0"/>
            </w:tcBorders>
            <w:noWrap w:val="0"/>
            <w:vAlign w:val="center"/>
          </w:tcPr>
          <w:p w14:paraId="02EE6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 位</w:t>
            </w:r>
          </w:p>
        </w:tc>
        <w:tc>
          <w:tcPr>
            <w:tcW w:w="417" w:type="pct"/>
            <w:tcBorders>
              <w:top w:val="single" w:color="auto" w:sz="12" w:space="0"/>
            </w:tcBorders>
            <w:noWrap w:val="0"/>
            <w:vAlign w:val="center"/>
          </w:tcPr>
          <w:p w14:paraId="0E488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数 量</w:t>
            </w:r>
          </w:p>
        </w:tc>
        <w:tc>
          <w:tcPr>
            <w:tcW w:w="417" w:type="pct"/>
            <w:tcBorders>
              <w:top w:val="single" w:color="auto" w:sz="12" w:space="0"/>
            </w:tcBorders>
            <w:noWrap w:val="0"/>
            <w:vAlign w:val="center"/>
          </w:tcPr>
          <w:p w14:paraId="160B9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单 价</w:t>
            </w:r>
          </w:p>
        </w:tc>
        <w:tc>
          <w:tcPr>
            <w:tcW w:w="366" w:type="pct"/>
            <w:tcBorders>
              <w:top w:val="single" w:color="auto" w:sz="12" w:space="0"/>
            </w:tcBorders>
            <w:noWrap w:val="0"/>
            <w:vAlign w:val="center"/>
          </w:tcPr>
          <w:p w14:paraId="76EB7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合价</w:t>
            </w:r>
          </w:p>
        </w:tc>
        <w:tc>
          <w:tcPr>
            <w:tcW w:w="417" w:type="pct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493E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 注</w:t>
            </w:r>
          </w:p>
        </w:tc>
      </w:tr>
      <w:tr w14:paraId="04ED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65" w:type="pct"/>
            <w:tcBorders>
              <w:left w:val="single" w:color="auto" w:sz="12" w:space="0"/>
            </w:tcBorders>
            <w:noWrap w:val="0"/>
            <w:vAlign w:val="top"/>
          </w:tcPr>
          <w:p w14:paraId="093AE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3" w:type="pct"/>
            <w:noWrap w:val="0"/>
            <w:vAlign w:val="top"/>
          </w:tcPr>
          <w:p w14:paraId="2985E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top"/>
          </w:tcPr>
          <w:p w14:paraId="281C0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9" w:type="pct"/>
            <w:noWrap w:val="0"/>
            <w:vAlign w:val="top"/>
          </w:tcPr>
          <w:p w14:paraId="4154F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1" w:type="pct"/>
            <w:noWrap w:val="0"/>
            <w:vAlign w:val="top"/>
          </w:tcPr>
          <w:p w14:paraId="6729D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9" w:type="pct"/>
            <w:noWrap w:val="0"/>
            <w:vAlign w:val="top"/>
          </w:tcPr>
          <w:p w14:paraId="22623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5201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1568A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66" w:type="pct"/>
            <w:noWrap w:val="0"/>
            <w:vAlign w:val="top"/>
          </w:tcPr>
          <w:p w14:paraId="27C75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tcBorders>
              <w:right w:val="single" w:color="auto" w:sz="12" w:space="0"/>
            </w:tcBorders>
            <w:noWrap w:val="0"/>
            <w:vAlign w:val="top"/>
          </w:tcPr>
          <w:p w14:paraId="7628B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E07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65" w:type="pct"/>
            <w:tcBorders>
              <w:left w:val="single" w:color="auto" w:sz="12" w:space="0"/>
            </w:tcBorders>
            <w:noWrap w:val="0"/>
            <w:vAlign w:val="top"/>
          </w:tcPr>
          <w:p w14:paraId="78528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3" w:type="pct"/>
            <w:noWrap w:val="0"/>
            <w:vAlign w:val="top"/>
          </w:tcPr>
          <w:p w14:paraId="796D4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top"/>
          </w:tcPr>
          <w:p w14:paraId="7DDD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9" w:type="pct"/>
            <w:noWrap w:val="0"/>
            <w:vAlign w:val="top"/>
          </w:tcPr>
          <w:p w14:paraId="32813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1" w:type="pct"/>
            <w:noWrap w:val="0"/>
            <w:vAlign w:val="top"/>
          </w:tcPr>
          <w:p w14:paraId="1BA41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9" w:type="pct"/>
            <w:noWrap w:val="0"/>
            <w:vAlign w:val="top"/>
          </w:tcPr>
          <w:p w14:paraId="1BF3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09AA0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13B57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66" w:type="pct"/>
            <w:noWrap w:val="0"/>
            <w:vAlign w:val="top"/>
          </w:tcPr>
          <w:p w14:paraId="27E7B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tcBorders>
              <w:right w:val="single" w:color="auto" w:sz="12" w:space="0"/>
            </w:tcBorders>
            <w:noWrap w:val="0"/>
            <w:vAlign w:val="top"/>
          </w:tcPr>
          <w:p w14:paraId="7AD50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48A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65" w:type="pct"/>
            <w:tcBorders>
              <w:left w:val="single" w:color="auto" w:sz="12" w:space="0"/>
            </w:tcBorders>
            <w:noWrap w:val="0"/>
            <w:vAlign w:val="top"/>
          </w:tcPr>
          <w:p w14:paraId="7C7BD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793" w:type="pct"/>
            <w:noWrap w:val="0"/>
            <w:vAlign w:val="top"/>
          </w:tcPr>
          <w:p w14:paraId="12A0D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1" w:type="pct"/>
            <w:noWrap w:val="0"/>
            <w:vAlign w:val="top"/>
          </w:tcPr>
          <w:p w14:paraId="60598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69" w:type="pct"/>
            <w:noWrap w:val="0"/>
            <w:vAlign w:val="top"/>
          </w:tcPr>
          <w:p w14:paraId="33C1F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1" w:type="pct"/>
            <w:noWrap w:val="0"/>
            <w:vAlign w:val="top"/>
          </w:tcPr>
          <w:p w14:paraId="40649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9" w:type="pct"/>
            <w:noWrap w:val="0"/>
            <w:vAlign w:val="top"/>
          </w:tcPr>
          <w:p w14:paraId="7FDDC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1C7AD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top"/>
          </w:tcPr>
          <w:p w14:paraId="38C43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66" w:type="pct"/>
            <w:noWrap w:val="0"/>
            <w:vAlign w:val="top"/>
          </w:tcPr>
          <w:p w14:paraId="21DA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17" w:type="pct"/>
            <w:tcBorders>
              <w:right w:val="single" w:color="auto" w:sz="12" w:space="0"/>
            </w:tcBorders>
            <w:noWrap w:val="0"/>
            <w:vAlign w:val="top"/>
          </w:tcPr>
          <w:p w14:paraId="3960C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631ABA02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</w:pPr>
    </w:p>
    <w:p w14:paraId="7C6CDD32">
      <w:pPr>
        <w:autoSpaceDE w:val="0"/>
        <w:autoSpaceDN w:val="0"/>
        <w:adjustRightInd w:val="0"/>
        <w:snapToGrid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注：此表格单独编制，不包括在投标总报价内，仅供评标时参考。</w:t>
      </w:r>
    </w:p>
    <w:p w14:paraId="052CE708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72CC0B4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4AF6FD4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320C939E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</w:p>
    <w:p w14:paraId="586CF541">
      <w:pPr>
        <w:ind w:firstLine="3600" w:firstLineChars="1500"/>
        <w:rPr>
          <w:rFonts w:hint="eastAsia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76489B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62A6B1BABEB34C35B8CD79A4B1412E72_13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