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663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服 务 合 同</w:t>
      </w:r>
    </w:p>
    <w:p w14:paraId="063B48CD">
      <w:pPr>
        <w:snapToGrid w:val="0"/>
        <w:spacing w:line="360" w:lineRule="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甲方：西安市</w:t>
      </w:r>
      <w:r>
        <w:rPr>
          <w:rFonts w:hint="eastAsia" w:ascii="仿宋" w:hAnsi="仿宋" w:eastAsia="仿宋" w:cs="仿宋"/>
          <w:color w:val="auto"/>
          <w:sz w:val="24"/>
          <w:szCs w:val="24"/>
          <w:highlight w:val="none"/>
          <w:lang w:val="en-US" w:eastAsia="zh-CN"/>
        </w:rPr>
        <w:t>第一医院</w:t>
      </w:r>
    </w:p>
    <w:p w14:paraId="01972A8E">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乙方：</w:t>
      </w:r>
    </w:p>
    <w:p w14:paraId="2EF14C4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甲方所需服务，按照采购程序，确定乙方为成交供应商。依据《中华人民共和国政府采购法》及实施条例、《中华人民共和国民法典》、成交供应商响应文件正本、成交通知书，经甲、乙双方协商，达成如下条款。</w:t>
      </w:r>
    </w:p>
    <w:p w14:paraId="6ECFF1A4">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eastAsia="zh-CN"/>
        </w:rPr>
        <w:t>合同标的物内容及数量</w:t>
      </w:r>
    </w:p>
    <w:p w14:paraId="18F7E8B5">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（一）合同总价</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2851"/>
        <w:gridCol w:w="2526"/>
        <w:gridCol w:w="2670"/>
      </w:tblGrid>
      <w:tr w14:paraId="2B82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48" w:type="dxa"/>
            <w:noWrap w:val="0"/>
            <w:vAlign w:val="center"/>
          </w:tcPr>
          <w:p w14:paraId="478DA355">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序号</w:t>
            </w:r>
          </w:p>
        </w:tc>
        <w:tc>
          <w:tcPr>
            <w:tcW w:w="2851" w:type="dxa"/>
            <w:noWrap w:val="0"/>
            <w:vAlign w:val="center"/>
          </w:tcPr>
          <w:p w14:paraId="13590CC9">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名称</w:t>
            </w:r>
          </w:p>
        </w:tc>
        <w:tc>
          <w:tcPr>
            <w:tcW w:w="2526" w:type="dxa"/>
            <w:noWrap w:val="0"/>
            <w:vAlign w:val="center"/>
          </w:tcPr>
          <w:p w14:paraId="47302C50">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数量</w:t>
            </w:r>
          </w:p>
        </w:tc>
        <w:tc>
          <w:tcPr>
            <w:tcW w:w="2670" w:type="dxa"/>
            <w:noWrap w:val="0"/>
            <w:vAlign w:val="center"/>
          </w:tcPr>
          <w:p w14:paraId="06BE1CAE">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金额合计（小写）</w:t>
            </w:r>
          </w:p>
        </w:tc>
      </w:tr>
      <w:tr w14:paraId="0279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148" w:type="dxa"/>
            <w:noWrap w:val="0"/>
            <w:vAlign w:val="center"/>
          </w:tcPr>
          <w:p w14:paraId="2F350D43">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p>
        </w:tc>
        <w:tc>
          <w:tcPr>
            <w:tcW w:w="2851" w:type="dxa"/>
            <w:noWrap w:val="0"/>
            <w:vAlign w:val="center"/>
          </w:tcPr>
          <w:p w14:paraId="35F962A3">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电梯维保</w:t>
            </w:r>
          </w:p>
        </w:tc>
        <w:tc>
          <w:tcPr>
            <w:tcW w:w="2526" w:type="dxa"/>
            <w:noWrap w:val="0"/>
            <w:vAlign w:val="center"/>
          </w:tcPr>
          <w:p w14:paraId="242899BE">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1项</w:t>
            </w:r>
          </w:p>
        </w:tc>
        <w:tc>
          <w:tcPr>
            <w:tcW w:w="2670" w:type="dxa"/>
            <w:noWrap w:val="0"/>
            <w:vAlign w:val="center"/>
          </w:tcPr>
          <w:p w14:paraId="0EF6E9C6">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元</w:t>
            </w:r>
          </w:p>
        </w:tc>
      </w:tr>
      <w:tr w14:paraId="19C8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195" w:type="dxa"/>
            <w:gridSpan w:val="4"/>
            <w:noWrap w:val="0"/>
            <w:vAlign w:val="center"/>
          </w:tcPr>
          <w:p w14:paraId="7B8FB189">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合同金额合计人民币：</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元整</w:t>
            </w:r>
          </w:p>
        </w:tc>
      </w:tr>
    </w:tbl>
    <w:p w14:paraId="20EEF380">
      <w:pPr>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（二）分项价格</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878"/>
        <w:gridCol w:w="811"/>
        <w:gridCol w:w="1739"/>
        <w:gridCol w:w="1368"/>
        <w:gridCol w:w="900"/>
        <w:gridCol w:w="638"/>
        <w:gridCol w:w="562"/>
        <w:gridCol w:w="874"/>
        <w:gridCol w:w="964"/>
      </w:tblGrid>
      <w:tr w14:paraId="4F1B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506" w:type="dxa"/>
            <w:noWrap w:val="0"/>
            <w:vAlign w:val="center"/>
          </w:tcPr>
          <w:p w14:paraId="7FF63E5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878" w:type="dxa"/>
            <w:noWrap w:val="0"/>
            <w:vAlign w:val="center"/>
          </w:tcPr>
          <w:p w14:paraId="418966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电梯品牌</w:t>
            </w:r>
          </w:p>
        </w:tc>
        <w:tc>
          <w:tcPr>
            <w:tcW w:w="811" w:type="dxa"/>
            <w:noWrap w:val="0"/>
            <w:vAlign w:val="center"/>
          </w:tcPr>
          <w:p w14:paraId="1212D88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产品名称</w:t>
            </w:r>
          </w:p>
        </w:tc>
        <w:tc>
          <w:tcPr>
            <w:tcW w:w="1739" w:type="dxa"/>
            <w:noWrap w:val="0"/>
            <w:vAlign w:val="center"/>
          </w:tcPr>
          <w:p w14:paraId="2127DA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型号规格</w:t>
            </w:r>
          </w:p>
        </w:tc>
        <w:tc>
          <w:tcPr>
            <w:tcW w:w="1368" w:type="dxa"/>
            <w:noWrap w:val="0"/>
            <w:vAlign w:val="center"/>
          </w:tcPr>
          <w:p w14:paraId="0C34C2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出厂编号</w:t>
            </w:r>
          </w:p>
        </w:tc>
        <w:tc>
          <w:tcPr>
            <w:tcW w:w="900" w:type="dxa"/>
            <w:noWrap w:val="0"/>
            <w:vAlign w:val="center"/>
          </w:tcPr>
          <w:p w14:paraId="2C35B5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层站</w:t>
            </w:r>
          </w:p>
        </w:tc>
        <w:tc>
          <w:tcPr>
            <w:tcW w:w="638" w:type="dxa"/>
            <w:noWrap w:val="0"/>
            <w:vAlign w:val="center"/>
          </w:tcPr>
          <w:p w14:paraId="30137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562" w:type="dxa"/>
            <w:noWrap w:val="0"/>
            <w:vAlign w:val="center"/>
          </w:tcPr>
          <w:p w14:paraId="472455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74" w:type="dxa"/>
            <w:noWrap w:val="0"/>
            <w:vAlign w:val="center"/>
          </w:tcPr>
          <w:p w14:paraId="39E6D11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60234D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964" w:type="dxa"/>
            <w:noWrap w:val="0"/>
            <w:vAlign w:val="center"/>
          </w:tcPr>
          <w:p w14:paraId="5AB63E2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p w14:paraId="511C4C3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金额</w:t>
            </w:r>
          </w:p>
          <w:p w14:paraId="2369D2B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r>
      <w:tr w14:paraId="2EF80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506" w:type="dxa"/>
            <w:noWrap w:val="0"/>
            <w:vAlign w:val="center"/>
          </w:tcPr>
          <w:p w14:paraId="17EE94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878" w:type="dxa"/>
            <w:noWrap w:val="0"/>
            <w:vAlign w:val="center"/>
          </w:tcPr>
          <w:p w14:paraId="29D02B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811" w:type="dxa"/>
            <w:noWrap w:val="0"/>
            <w:vAlign w:val="center"/>
          </w:tcPr>
          <w:p w14:paraId="0A3C97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1739" w:type="dxa"/>
            <w:noWrap w:val="0"/>
            <w:vAlign w:val="center"/>
          </w:tcPr>
          <w:p w14:paraId="6DDC1B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1368" w:type="dxa"/>
            <w:noWrap w:val="0"/>
            <w:vAlign w:val="center"/>
          </w:tcPr>
          <w:p w14:paraId="0E554E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900" w:type="dxa"/>
            <w:noWrap w:val="0"/>
            <w:vAlign w:val="center"/>
          </w:tcPr>
          <w:p w14:paraId="740DFC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638" w:type="dxa"/>
            <w:noWrap w:val="0"/>
            <w:vAlign w:val="center"/>
          </w:tcPr>
          <w:p w14:paraId="3D467F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部</w:t>
            </w:r>
          </w:p>
        </w:tc>
        <w:tc>
          <w:tcPr>
            <w:tcW w:w="562" w:type="dxa"/>
            <w:noWrap w:val="0"/>
            <w:vAlign w:val="center"/>
          </w:tcPr>
          <w:p w14:paraId="42E83A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874" w:type="dxa"/>
            <w:noWrap w:val="0"/>
            <w:vAlign w:val="center"/>
          </w:tcPr>
          <w:p w14:paraId="4547B5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964" w:type="dxa"/>
            <w:noWrap w:val="0"/>
            <w:vAlign w:val="center"/>
          </w:tcPr>
          <w:p w14:paraId="2240E0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r>
      <w:tr w14:paraId="77AF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506" w:type="dxa"/>
            <w:noWrap w:val="0"/>
            <w:vAlign w:val="center"/>
          </w:tcPr>
          <w:p w14:paraId="1A1769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878" w:type="dxa"/>
            <w:noWrap w:val="0"/>
            <w:vAlign w:val="center"/>
          </w:tcPr>
          <w:p w14:paraId="55951F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811" w:type="dxa"/>
            <w:noWrap w:val="0"/>
            <w:vAlign w:val="center"/>
          </w:tcPr>
          <w:p w14:paraId="220DBF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1739" w:type="dxa"/>
            <w:noWrap w:val="0"/>
            <w:vAlign w:val="center"/>
          </w:tcPr>
          <w:p w14:paraId="4D4B3B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1368" w:type="dxa"/>
            <w:noWrap w:val="0"/>
            <w:vAlign w:val="center"/>
          </w:tcPr>
          <w:p w14:paraId="788B96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900" w:type="dxa"/>
            <w:noWrap w:val="0"/>
            <w:vAlign w:val="center"/>
          </w:tcPr>
          <w:p w14:paraId="1A9ACC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638" w:type="dxa"/>
            <w:noWrap w:val="0"/>
            <w:vAlign w:val="center"/>
          </w:tcPr>
          <w:p w14:paraId="3F9774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部</w:t>
            </w:r>
          </w:p>
        </w:tc>
        <w:tc>
          <w:tcPr>
            <w:tcW w:w="562" w:type="dxa"/>
            <w:noWrap w:val="0"/>
            <w:vAlign w:val="center"/>
          </w:tcPr>
          <w:p w14:paraId="1DBC01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874" w:type="dxa"/>
            <w:noWrap w:val="0"/>
            <w:vAlign w:val="center"/>
          </w:tcPr>
          <w:p w14:paraId="4B8EB7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c>
          <w:tcPr>
            <w:tcW w:w="964" w:type="dxa"/>
            <w:noWrap w:val="0"/>
            <w:vAlign w:val="center"/>
          </w:tcPr>
          <w:p w14:paraId="2AA746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color w:val="auto"/>
                <w:sz w:val="24"/>
                <w:szCs w:val="24"/>
                <w:highlight w:val="none"/>
              </w:rPr>
            </w:pPr>
          </w:p>
        </w:tc>
      </w:tr>
    </w:tbl>
    <w:p w14:paraId="1B6A2AAD">
      <w:pPr>
        <w:snapToGrid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1、数量：</w:t>
      </w:r>
      <w:r>
        <w:rPr>
          <w:rFonts w:hint="eastAsia" w:ascii="仿宋" w:hAnsi="仿宋" w:eastAsia="仿宋" w:cs="仿宋"/>
          <w:color w:val="auto"/>
          <w:sz w:val="24"/>
          <w:szCs w:val="24"/>
          <w:highlight w:val="none"/>
          <w:lang w:val="en-US" w:eastAsia="zh-CN"/>
        </w:rPr>
        <w:t>粉巷</w:t>
      </w:r>
      <w:r>
        <w:rPr>
          <w:rFonts w:hint="eastAsia" w:ascii="仿宋" w:hAnsi="仿宋" w:eastAsia="仿宋" w:cs="仿宋"/>
          <w:color w:val="auto"/>
          <w:sz w:val="24"/>
          <w:szCs w:val="24"/>
          <w:highlight w:val="none"/>
          <w:lang w:eastAsia="zh-CN"/>
        </w:rPr>
        <w:t>院区</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eastAsia="zh-CN"/>
        </w:rPr>
        <w:t>部电梯，</w:t>
      </w:r>
      <w:r>
        <w:rPr>
          <w:rFonts w:hint="eastAsia" w:ascii="仿宋" w:hAnsi="仿宋" w:eastAsia="仿宋" w:cs="仿宋"/>
          <w:color w:val="auto"/>
          <w:sz w:val="24"/>
          <w:szCs w:val="24"/>
          <w:highlight w:val="none"/>
          <w:lang w:val="en-US" w:eastAsia="zh-CN"/>
        </w:rPr>
        <w:t>高新</w:t>
      </w:r>
      <w:r>
        <w:rPr>
          <w:rFonts w:hint="eastAsia" w:ascii="仿宋" w:hAnsi="仿宋" w:eastAsia="仿宋" w:cs="仿宋"/>
          <w:color w:val="auto"/>
          <w:sz w:val="24"/>
          <w:szCs w:val="24"/>
          <w:highlight w:val="none"/>
          <w:lang w:eastAsia="zh-CN"/>
        </w:rPr>
        <w:t>院区</w:t>
      </w:r>
      <w:r>
        <w:rPr>
          <w:rFonts w:hint="eastAsia" w:ascii="仿宋" w:hAnsi="仿宋" w:eastAsia="仿宋" w:cs="仿宋"/>
          <w:color w:val="auto"/>
          <w:sz w:val="24"/>
          <w:szCs w:val="24"/>
          <w:highlight w:val="none"/>
          <w:lang w:val="en-US" w:eastAsia="zh-CN"/>
        </w:rPr>
        <w:t>98</w:t>
      </w:r>
      <w:r>
        <w:rPr>
          <w:rFonts w:hint="eastAsia" w:ascii="仿宋" w:hAnsi="仿宋" w:eastAsia="仿宋" w:cs="仿宋"/>
          <w:color w:val="auto"/>
          <w:sz w:val="24"/>
          <w:szCs w:val="24"/>
          <w:highlight w:val="none"/>
          <w:lang w:eastAsia="zh-CN"/>
        </w:rPr>
        <w:t>部电梯（维修维保）。</w:t>
      </w:r>
      <w:r>
        <w:rPr>
          <w:rFonts w:hint="eastAsia" w:ascii="仿宋" w:hAnsi="仿宋" w:eastAsia="仿宋" w:cs="仿宋"/>
          <w:color w:val="auto"/>
          <w:sz w:val="24"/>
          <w:szCs w:val="24"/>
          <w:highlight w:val="none"/>
          <w:lang w:val="en-US" w:eastAsia="zh-CN"/>
        </w:rPr>
        <w:t>具体以甲方确定交付乙方的电梯维保数量和维保期限为准。</w:t>
      </w:r>
    </w:p>
    <w:p w14:paraId="0AEEA81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2、电梯维护保养服务要求：</w:t>
      </w:r>
    </w:p>
    <w:p w14:paraId="74D03C08">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（1）保证电梯安全运行。 </w:t>
      </w:r>
    </w:p>
    <w:p w14:paraId="65F6E38B">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（2）在保证电梯安全运行的前提下满足正常生活的需要。</w:t>
      </w:r>
    </w:p>
    <w:p w14:paraId="131E9E58">
      <w:pPr>
        <w:snapToGrid w:val="0"/>
        <w:spacing w:line="360" w:lineRule="auto"/>
        <w:ind w:firstLine="48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24"/>
          <w:szCs w:val="24"/>
          <w:highlight w:val="none"/>
          <w:lang w:eastAsia="zh-CN"/>
        </w:rPr>
        <w:t>（3）须配置专职现场（</w:t>
      </w:r>
      <w:r>
        <w:rPr>
          <w:rFonts w:hint="eastAsia" w:ascii="仿宋" w:hAnsi="仿宋" w:eastAsia="仿宋" w:cs="仿宋"/>
          <w:color w:val="auto"/>
          <w:sz w:val="24"/>
          <w:szCs w:val="24"/>
          <w:highlight w:val="none"/>
          <w:lang w:val="en-US" w:eastAsia="zh-CN"/>
        </w:rPr>
        <w:t>驻场）</w:t>
      </w:r>
      <w:r>
        <w:rPr>
          <w:rFonts w:hint="eastAsia" w:ascii="仿宋" w:hAnsi="仿宋" w:eastAsia="仿宋" w:cs="仿宋"/>
          <w:color w:val="auto"/>
          <w:sz w:val="24"/>
          <w:szCs w:val="24"/>
          <w:highlight w:val="none"/>
          <w:lang w:eastAsia="zh-CN"/>
        </w:rPr>
        <w:t xml:space="preserve">服务的人员数量按每 </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台不少于 1 人标准配备（但修理时须有2人及以上持证人员在场）</w:t>
      </w:r>
      <w:r>
        <w:rPr>
          <w:rFonts w:hint="eastAsia" w:ascii="仿宋" w:hAnsi="仿宋" w:eastAsia="仿宋" w:cs="仿宋"/>
          <w:color w:val="auto"/>
          <w:sz w:val="32"/>
          <w:szCs w:val="32"/>
          <w:highlight w:val="none"/>
          <w:lang w:eastAsia="zh-CN"/>
        </w:rPr>
        <w:t>，</w:t>
      </w:r>
      <w:r>
        <w:rPr>
          <w:rFonts w:hint="eastAsia" w:ascii="仿宋" w:hAnsi="仿宋" w:eastAsia="仿宋" w:cs="仿宋"/>
          <w:bCs/>
          <w:color w:val="auto"/>
          <w:sz w:val="24"/>
          <w:szCs w:val="24"/>
          <w:highlight w:val="none"/>
          <w:lang w:val="en-US" w:eastAsia="zh-CN"/>
        </w:rPr>
        <w:t>同时提供服务人员的姓名、通讯号码，并提供他们有效的特种设备作业人员资格证书（T）复印件</w:t>
      </w:r>
      <w:r>
        <w:rPr>
          <w:rFonts w:hint="eastAsia" w:ascii="仿宋" w:hAnsi="仿宋" w:eastAsia="仿宋" w:cs="仿宋"/>
          <w:sz w:val="24"/>
          <w:szCs w:val="32"/>
          <w:highlight w:val="none"/>
        </w:rPr>
        <w:t>（须加盖</w:t>
      </w:r>
      <w:r>
        <w:rPr>
          <w:rFonts w:hint="eastAsia" w:ascii="仿宋" w:hAnsi="仿宋" w:eastAsia="仿宋" w:cs="仿宋"/>
          <w:sz w:val="24"/>
          <w:szCs w:val="32"/>
          <w:highlight w:val="none"/>
          <w:lang w:eastAsia="zh-CN"/>
        </w:rPr>
        <w:t>聘用单位公章</w:t>
      </w:r>
      <w:r>
        <w:rPr>
          <w:rFonts w:hint="eastAsia" w:ascii="仿宋" w:hAnsi="仿宋" w:eastAsia="仿宋" w:cs="仿宋"/>
          <w:sz w:val="24"/>
          <w:szCs w:val="32"/>
          <w:highlight w:val="none"/>
        </w:rPr>
        <w:t>）</w:t>
      </w:r>
      <w:r>
        <w:rPr>
          <w:rFonts w:hint="eastAsia" w:ascii="仿宋" w:hAnsi="仿宋" w:eastAsia="仿宋" w:cs="仿宋"/>
          <w:sz w:val="24"/>
          <w:szCs w:val="32"/>
          <w:highlight w:val="none"/>
          <w:lang w:eastAsia="zh-CN"/>
        </w:rPr>
        <w:t>及</w:t>
      </w:r>
      <w:r>
        <w:rPr>
          <w:rFonts w:hint="eastAsia" w:ascii="仿宋" w:hAnsi="仿宋" w:eastAsia="仿宋" w:cs="仿宋"/>
          <w:sz w:val="24"/>
          <w:szCs w:val="32"/>
          <w:highlight w:val="none"/>
        </w:rPr>
        <w:t>开标截止前连续近三个月（不含开标当月）投标供应商为其缴纳的养老保险缴纳证明</w:t>
      </w:r>
      <w:r>
        <w:rPr>
          <w:rFonts w:hint="eastAsia" w:ascii="仿宋" w:hAnsi="仿宋" w:eastAsia="仿宋" w:cs="仿宋"/>
          <w:sz w:val="24"/>
          <w:szCs w:val="32"/>
          <w:highlight w:val="none"/>
          <w:lang w:eastAsia="zh-CN"/>
        </w:rPr>
        <w:t>）</w:t>
      </w:r>
    </w:p>
    <w:p w14:paraId="2819EBBD">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（4）须提供</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24小时的应急响应服务，且能在接到故障或事故报警后30分钟内到达现场，并能提供正常连续的服务直至故障或事故排除。对电梯困人事故要求在到达现场后10分钟内把乘客从轿厢中救出，对非电路板原因的常见故障要求在60分钟内排除，对电路板原因的故障应在普遍认可的合理时间内解决。</w:t>
      </w:r>
    </w:p>
    <w:p w14:paraId="72A7F9D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（5）对有偿更换后的电子器件应交回院方人员保管。</w:t>
      </w:r>
    </w:p>
    <w:p w14:paraId="13285E29">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（6）在日常维护保养期届满时，须经法定定期检验并无因维护保养原因的不合格项目存在。</w:t>
      </w:r>
    </w:p>
    <w:p w14:paraId="2F882704">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（7）如因使用不当造成电梯故障或损坏，中标单位有责任负责及时将其修复，使电梯恢复安全、正常运行，费用双方另行协商确定。</w:t>
      </w:r>
    </w:p>
    <w:p w14:paraId="6CF141FF">
      <w:pPr>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lang w:val="en-US" w:eastAsia="zh-CN"/>
        </w:rPr>
        <w:t>（8）要求更换的零配件单价在500元（含500元）以内的，免费更换，并提供报价表（后附）；单价在500元以上的，只收取成本费。（注：所有配件均为全新未拆封产品）</w:t>
      </w:r>
    </w:p>
    <w:p w14:paraId="0DA666E3">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二、服务期</w:t>
      </w:r>
    </w:p>
    <w:p w14:paraId="6C0249D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服务期一年</w:t>
      </w:r>
    </w:p>
    <w:p w14:paraId="07D6445E">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三、服务地点</w:t>
      </w:r>
    </w:p>
    <w:p w14:paraId="5BDD9DDB">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服务地点：西安市</w:t>
      </w:r>
      <w:r>
        <w:rPr>
          <w:rFonts w:hint="eastAsia" w:ascii="仿宋" w:hAnsi="仿宋" w:eastAsia="仿宋" w:cs="仿宋"/>
          <w:color w:val="auto"/>
          <w:sz w:val="24"/>
          <w:szCs w:val="24"/>
          <w:highlight w:val="none"/>
          <w:lang w:val="en-US" w:eastAsia="zh-CN"/>
        </w:rPr>
        <w:t>第一医院粉巷院区和高新院区</w:t>
      </w:r>
      <w:r>
        <w:rPr>
          <w:rFonts w:hint="eastAsia" w:ascii="仿宋" w:hAnsi="仿宋" w:eastAsia="仿宋" w:cs="仿宋"/>
          <w:color w:val="auto"/>
          <w:sz w:val="24"/>
          <w:szCs w:val="24"/>
          <w:highlight w:val="none"/>
          <w:lang w:eastAsia="zh-CN"/>
        </w:rPr>
        <w:t>。</w:t>
      </w:r>
    </w:p>
    <w:p w14:paraId="2D597E0A">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四、合同总价</w:t>
      </w:r>
    </w:p>
    <w:p w14:paraId="204AD7E5">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（一）合同总价人民币：（小写）</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元（大写）</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元整。</w:t>
      </w:r>
    </w:p>
    <w:p w14:paraId="71D00DCE">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（二）合同总价包括：维保费（安装、人工费、交通费、调试费、验收、税费、耗材、管线费、</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00元及以内相关配件等费用），甲方不再支付其他费用。</w:t>
      </w:r>
    </w:p>
    <w:p w14:paraId="70E44FB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（三）合同金额一次性包死，不受市场价格变化等因素的影响。</w:t>
      </w:r>
    </w:p>
    <w:p w14:paraId="1D4EA739">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五、款项结算</w:t>
      </w:r>
    </w:p>
    <w:p w14:paraId="7C76745C">
      <w:pPr>
        <w:pStyle w:val="27"/>
        <w:numPr>
          <w:ilvl w:val="0"/>
          <w:numId w:val="0"/>
        </w:num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（一）付款方式：</w:t>
      </w:r>
      <w:r>
        <w:rPr>
          <w:rFonts w:hint="eastAsia" w:ascii="仿宋" w:hAnsi="仿宋" w:eastAsia="仿宋" w:cs="仿宋"/>
          <w:sz w:val="24"/>
          <w:szCs w:val="24"/>
          <w:highlight w:val="none"/>
          <w:lang w:val="en-US" w:eastAsia="zh-CN"/>
        </w:rPr>
        <w:t>根据维保电梯</w:t>
      </w:r>
      <w:r>
        <w:rPr>
          <w:rFonts w:hint="eastAsia" w:ascii="仿宋" w:hAnsi="仿宋" w:eastAsia="仿宋" w:cs="仿宋"/>
          <w:sz w:val="24"/>
          <w:szCs w:val="24"/>
          <w:highlight w:val="none"/>
          <w:lang w:eastAsia="zh-CN"/>
        </w:rPr>
        <w:t>每台每月维保价，结合维保数量和期限</w:t>
      </w:r>
      <w:r>
        <w:rPr>
          <w:rFonts w:hint="eastAsia" w:ascii="仿宋" w:hAnsi="仿宋" w:eastAsia="仿宋" w:cs="仿宋"/>
          <w:sz w:val="24"/>
          <w:szCs w:val="24"/>
          <w:highlight w:val="none"/>
          <w:lang w:val="en-US" w:eastAsia="zh-CN"/>
        </w:rPr>
        <w:t>结算</w:t>
      </w:r>
      <w:r>
        <w:rPr>
          <w:rFonts w:hint="eastAsia" w:ascii="仿宋" w:hAnsi="仿宋" w:eastAsia="仿宋" w:cs="仿宋"/>
          <w:sz w:val="24"/>
          <w:szCs w:val="24"/>
          <w:highlight w:val="none"/>
          <w:lang w:eastAsia="zh-CN"/>
        </w:rPr>
        <w:t>，每半年结算一次维保费。</w:t>
      </w:r>
    </w:p>
    <w:p w14:paraId="3BD6EA14">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（二）支付方式：银行转账。</w:t>
      </w:r>
    </w:p>
    <w:p w14:paraId="7E2B7731">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乙方确认以下信息为收款信息：</w:t>
      </w:r>
    </w:p>
    <w:p w14:paraId="0C7F2B65">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开户名：</w:t>
      </w:r>
    </w:p>
    <w:p w14:paraId="2F859BAB">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开户行：</w:t>
      </w:r>
    </w:p>
    <w:p w14:paraId="195681B4">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号：</w:t>
      </w:r>
    </w:p>
    <w:p w14:paraId="5322632E">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（三）结算方式：验收合格后填写项目验收单（一式六份），发票按照验收金额直开甲方，乙方持服务合同、等额合规发票、项目验收合格单，与甲方结算。</w:t>
      </w:r>
    </w:p>
    <w:p w14:paraId="12E9440F">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六、双方的权利和义务</w:t>
      </w:r>
    </w:p>
    <w:p w14:paraId="45B49147">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（一）甲方的权利和义务</w:t>
      </w:r>
    </w:p>
    <w:p w14:paraId="37161652">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1、甲方保证提供给乙方的资料、信息内容合法， 不侵犯第三方的合法权益。如因甲方原因致使乙方遭受第三方追诉的，甲方在过错范围内承担由此给乙方造成的损失，并承担违约责任。</w:t>
      </w:r>
    </w:p>
    <w:p w14:paraId="417686B1">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2、由于乙方原因不能按合同约定履约，甲方有权扣留剩余款项，作为对甲方损失的赔偿。剩余款项已付或不足以赔偿甲方损失的，由乙方另行支付。</w:t>
      </w:r>
    </w:p>
    <w:p w14:paraId="3E38284F">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（二）乙方的权利和义务</w:t>
      </w:r>
    </w:p>
    <w:p w14:paraId="79CF3A9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1、乙方保证在本项目服务期内，不侵犯第三方的合法权益。如因乙方原因致使甲方遭受第三方追诉的，乙方应承担由此给甲方造成的全部损失，并承担违约责任。</w:t>
      </w:r>
    </w:p>
    <w:p w14:paraId="56C1767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2、乙方按照本合同约定，在履行的过程中，不允许利用甲方提供的相关资料和工作条件，进行与本项目无关的工作。如因乙方原因，致使甲方遭受经济及法律追诉的，由乙方完全承担。</w:t>
      </w:r>
    </w:p>
    <w:p w14:paraId="2EA47367">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3、乙方必须设置服务现场安全管理人员及专职安全员，杜绝违规服务，凡国家规定的工种乙方服务人员必须持证上岗。否则，由此造成的全部损失由乙方自行承担。</w:t>
      </w:r>
    </w:p>
    <w:p w14:paraId="37E41519">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4、乙方必须对服务地域环境卫生、人员安全、生产安全、防火安全负全责。服务现场的各种活动须服从甲方相关部门的管理、监督，同时做好与其它人员的交叉作业及配合工作。</w:t>
      </w:r>
    </w:p>
    <w:p w14:paraId="16DA8251">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乙方必须加强对服务现场的安全监督、管理，对进入现场的易燃材料生产工具应指定专人管理，必要时派人驻守。对当日产生的易燃废料需当日清理出服务现场，堆放到甲方指定区域，当日应及时清理出院，消除安全隐患。</w:t>
      </w:r>
    </w:p>
    <w:p w14:paraId="3C6DA3C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乙方服务人员要安全文明服务，不准赤脚或穿高跟鞋、拖鞋和裙子进入服务场地；服务场地禁止吸烟；高空作业时必须系安全带，佩戴安全帽，不得穿硬底鞋及带钉易打滑的鞋；不准违章指挥，违章作业及冒险作业；不准从高处往下抛投物料；不准酒后上岗。</w:t>
      </w:r>
    </w:p>
    <w:p w14:paraId="32D1E32C">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7、乙方服务人员要严防火灾，不准在禁止烟火的地方动用明火；要文明服务，不得在服务现场戏耍和打架斗殴；要注意用电安全，电器开关要设箱加锁，不准乱拉乱接电线。</w:t>
      </w:r>
    </w:p>
    <w:p w14:paraId="3DEFE5A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由于乙方在服务过程中组织管理不当违反安全规程、消防安全条例发生安全或火灾事故所造成的安全责任事故、经济损失及人身伤亡，乙方承担全部责任，甲方概不负责。在服务中如发生事故造成甲方财产损失、人身损害，乙方承担全部责任。</w:t>
      </w:r>
    </w:p>
    <w:p w14:paraId="50D2401C">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9、乙方服务所需材料需在甲方指定地点有序堆放，垃圾应24小时之内清理外运，严禁随意乱堆乱放，影响院内大环境及道路畅通。</w:t>
      </w:r>
    </w:p>
    <w:p w14:paraId="3FAFA2C9">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七、运输</w:t>
      </w:r>
    </w:p>
    <w:p w14:paraId="5048AB62">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（一）运输由乙方负责，运杂费已包含在合同总价内，包括从货物供应地点所含的运输费、装卸费、仓储费、保险费等。</w:t>
      </w:r>
    </w:p>
    <w:p w14:paraId="6EDD5DA0">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（二）运输方式由乙方自行选择，但必须保证按期服务。</w:t>
      </w:r>
    </w:p>
    <w:p w14:paraId="71897F52">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八、质量保证</w:t>
      </w:r>
    </w:p>
    <w:p w14:paraId="5D8ECCC0">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（一）保证技术指标先进、质量性能可靠、进货渠道正常、功能齐全、配置合理，全面满足技术要求。</w:t>
      </w:r>
    </w:p>
    <w:p w14:paraId="11AB00CF">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（二）符合国家有关规范及要求，确保达到最佳运行状态。</w:t>
      </w:r>
    </w:p>
    <w:p w14:paraId="46356D0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（三）具有良好的外观，适合安装场所的使用。</w:t>
      </w:r>
    </w:p>
    <w:p w14:paraId="0C63F821">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九、特殊要求</w:t>
      </w:r>
    </w:p>
    <w:p w14:paraId="60EBBDEC">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（一）因甲方为一所三级甲等医院，就诊患者较多，人员较为复杂，病员均为特殊群体，甲方要求在服务过程当中，始终以患者为第一，任何服务开展决不能影响患者正常就诊。</w:t>
      </w:r>
    </w:p>
    <w:p w14:paraId="0D1C8B51">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（二）无论服务大小、难易以及节假日与夜间服务，要求乙方积极组织服务力量正常服务，服从甲方工作安排。</w:t>
      </w:r>
    </w:p>
    <w:p w14:paraId="1D0F5D99">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（三）乙方对甲方突发公共卫生事件及各项应急预案应积极响应并派员配合及协助工作，不得拒绝推诿。</w:t>
      </w:r>
    </w:p>
    <w:p w14:paraId="1B3B560B">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十、培训</w:t>
      </w:r>
    </w:p>
    <w:p w14:paraId="055E43DD">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提供免费培训，使操作、维护人员掌握使用、维护等操作方法，并预期达到熟练操作水平。培训具体内容可以根据甲方情况熟悉、现场使用情况等灵活调整。</w:t>
      </w:r>
    </w:p>
    <w:p w14:paraId="1EF9F523">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十一、验收</w:t>
      </w:r>
    </w:p>
    <w:p w14:paraId="461486F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（一）结算期前，按照甲方标书和乙方投标文件及承诺的要求，乙方进行自检，自检合格后，准备验收文件，并书面通知甲方。</w:t>
      </w:r>
    </w:p>
    <w:p w14:paraId="2BE34CE9">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（二）甲方确认乙方的自检内容后，组织乙方（必要时请有关专家）进行服务验收。验收合格后，填写验收单（一式六份）作为对项目的最终认可。</w:t>
      </w:r>
    </w:p>
    <w:p w14:paraId="5560883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如验收不合格，乙方应负责整改或返修，直至甲方验收合格为至，且服务期不顺延，由此产生的费用及造成的损失，乙方自行承担。若乙方交付项目验收不合格累计超过3次的，甲方有权选择解除合同，若合同解除，乙方应按照本协议违约责任第（二）款承担违约责任。若因乙方项目服务验收不合格导致乙方服务交付延期的，乙方仍应按本合同违约责任第（二）款承担违约责任。</w:t>
      </w:r>
    </w:p>
    <w:p w14:paraId="4BFFD14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（四）乙方向甲方提供维保服务过程中的所有资料,以便甲方日后管理和维护。</w:t>
      </w:r>
    </w:p>
    <w:p w14:paraId="5AF82C3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（五）验收依据</w:t>
      </w:r>
    </w:p>
    <w:p w14:paraId="37BFC97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eastAsia="zh-CN"/>
        </w:rPr>
        <w:t>文件、澄清表（函）；</w:t>
      </w:r>
    </w:p>
    <w:p w14:paraId="3C4B03AC">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2、本合同及附件文本；</w:t>
      </w:r>
    </w:p>
    <w:p w14:paraId="05D9A1E4">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3、国家相应的标准、规范。</w:t>
      </w:r>
    </w:p>
    <w:p w14:paraId="0EDE5AF0">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4、电梯维护保养规则（TSG T5002-2017）。</w:t>
      </w:r>
    </w:p>
    <w:p w14:paraId="1FAA92E7">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5、陕西省电梯安全监督管理办法。</w:t>
      </w:r>
    </w:p>
    <w:p w14:paraId="703E474C">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6、电梯维修规范（GB/T 18775-20</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lang w:eastAsia="zh-CN"/>
        </w:rPr>
        <w:t xml:space="preserve">）。 </w:t>
      </w:r>
    </w:p>
    <w:p w14:paraId="30B8372F">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lang w:val="en-US" w:eastAsia="zh-CN"/>
        </w:rPr>
        <w:t>7、电梯监督检验和定期检验规则（TSG T7001-2023）。</w:t>
      </w:r>
    </w:p>
    <w:p w14:paraId="68546568">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、电梯安装使用维护说明书。</w:t>
      </w:r>
    </w:p>
    <w:p w14:paraId="336F64C4">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以上规章、标准均以最新有效版本为准。</w:t>
      </w:r>
    </w:p>
    <w:p w14:paraId="1254C17F">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十二、违约责任</w:t>
      </w:r>
    </w:p>
    <w:p w14:paraId="47EE2713">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（一）按《中华人民共和国民法典》中的相关条款执行。</w:t>
      </w:r>
    </w:p>
    <w:p w14:paraId="4791D00F">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w:t>
      </w:r>
    </w:p>
    <w:p w14:paraId="2402B756">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lang w:val="en-US" w:eastAsia="zh-CN"/>
        </w:rPr>
        <w:t>乙方违反本合同“第六条 （二）乙方的权利和义务”的约定，均视为违约。甲方现场管理人员有权制止其行为并劝其离场，乙方应在三日内整改至甲方满意（若整改期间对甲方造成损失，由乙方自行承担）。每违反一次扣除合同总价的3‰作为违约金，并承担由此造成的全部损失，累计超过3次的，视为乙方根本违约，甲方有权解除合同，合同自书面解除通知送达乙方之日解除，乙方应按照合同总价的30%承担违约金，若违约金不足以弥补甲方损失的，由乙方另行支付。</w:t>
      </w:r>
    </w:p>
    <w:p w14:paraId="010D3E17">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服务期内，每推迟或未提供服务1天，扣合同总价的平均单价（合同总价/服务期=平均单价），并扣合同总价的3‰作为违约金。累计超过10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乙方应按照合同总价的30%承担违约金，若违约金不足以弥补甲方损失的，由乙方另行支付。</w:t>
      </w:r>
    </w:p>
    <w:p w14:paraId="78AFBA90">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十三、合同争议的解决</w:t>
      </w:r>
    </w:p>
    <w:p w14:paraId="592CB5E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合同执行中发生争议的，当事人双方应协商解决，无法协商或协商达不成一致时，双方均有权向甲方住所地人民法院提请诉讼。</w:t>
      </w:r>
    </w:p>
    <w:p w14:paraId="70027017">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十四、合同生效</w:t>
      </w:r>
    </w:p>
    <w:p w14:paraId="4EED671A">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合同一式七份，甲方六份、乙方一份，均具有同等法律效力。合同经甲方、乙方签字盖章后生效，合同执行完毕后，自动终止（合同的服务承诺则长期有效）。</w:t>
      </w:r>
    </w:p>
    <w:p w14:paraId="5B66DBA6">
      <w:pPr>
        <w:snapToGrid w:val="0"/>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十五、其他事项</w:t>
      </w:r>
    </w:p>
    <w:p w14:paraId="4F774D42">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eastAsia="zh-CN"/>
        </w:rPr>
        <w:t>文件、澄清表（函）、</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eastAsia="zh-CN"/>
        </w:rPr>
        <w:t>通知书、合同附件均成为合同不可分割的部分，与本合同具有同等法律效力。</w:t>
      </w:r>
    </w:p>
    <w:p w14:paraId="79419D68">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（二）合同未尽事宜，由甲、乙双方协商签订补充协议，作为合同的补充，与原合同具有同等法律效力，补充协议与原协议不一致的，以补充协议为准。</w:t>
      </w:r>
    </w:p>
    <w:p w14:paraId="59A9045B">
      <w:pPr>
        <w:snapToGrid w:val="0"/>
        <w:spacing w:line="360" w:lineRule="auto"/>
        <w:ind w:firstLine="480" w:firstLineChars="200"/>
        <w:rPr>
          <w:rFonts w:hint="eastAsia" w:ascii="仿宋" w:hAnsi="仿宋" w:eastAsia="仿宋" w:cs="仿宋"/>
          <w:color w:val="auto"/>
          <w:sz w:val="24"/>
          <w:szCs w:val="24"/>
          <w:highlight w:val="none"/>
          <w:lang w:eastAsia="zh-CN"/>
        </w:rPr>
      </w:pPr>
    </w:p>
    <w:p w14:paraId="55BF2ADC">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234E3DB7">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会签页</w:t>
      </w:r>
      <w:r>
        <w:rPr>
          <w:rFonts w:hint="eastAsia" w:ascii="仿宋" w:hAnsi="仿宋" w:eastAsia="仿宋" w:cs="仿宋"/>
          <w:color w:val="auto"/>
          <w:sz w:val="24"/>
          <w:szCs w:val="24"/>
          <w:highlight w:val="none"/>
          <w:lang w:eastAsia="zh-CN"/>
        </w:rPr>
        <w:t>）</w:t>
      </w:r>
    </w:p>
    <w:tbl>
      <w:tblPr>
        <w:tblStyle w:val="20"/>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4610"/>
      </w:tblGrid>
      <w:tr w14:paraId="0BD6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shd w:val="clear" w:color="auto" w:fill="D8D8D8"/>
            <w:noWrap w:val="0"/>
            <w:vAlign w:val="center"/>
          </w:tcPr>
          <w:p w14:paraId="05635057">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4610" w:type="dxa"/>
            <w:shd w:val="clear" w:color="auto" w:fill="D8D8D8"/>
            <w:noWrap w:val="0"/>
            <w:vAlign w:val="center"/>
          </w:tcPr>
          <w:p w14:paraId="474A5B67">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r>
      <w:tr w14:paraId="5583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4529" w:type="dxa"/>
            <w:noWrap w:val="0"/>
            <w:vAlign w:val="center"/>
          </w:tcPr>
          <w:p w14:paraId="720F545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86F2FD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4610" w:type="dxa"/>
            <w:noWrap w:val="0"/>
            <w:vAlign w:val="center"/>
          </w:tcPr>
          <w:p w14:paraId="228CAAF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供应商</w:t>
            </w:r>
          </w:p>
          <w:p w14:paraId="3BEB9FE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r>
      <w:tr w14:paraId="7A34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3846E29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610" w:type="dxa"/>
            <w:noWrap w:val="0"/>
            <w:vAlign w:val="center"/>
          </w:tcPr>
          <w:p w14:paraId="03BB857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190F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133DCB8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610" w:type="dxa"/>
            <w:noWrap w:val="0"/>
            <w:vAlign w:val="center"/>
          </w:tcPr>
          <w:p w14:paraId="3F5BE5D6">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3EC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5DE1150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4610" w:type="dxa"/>
            <w:noWrap w:val="0"/>
            <w:vAlign w:val="center"/>
          </w:tcPr>
          <w:p w14:paraId="7057CC8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C8C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180A72E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4610" w:type="dxa"/>
            <w:noWrap w:val="0"/>
            <w:vAlign w:val="center"/>
          </w:tcPr>
          <w:p w14:paraId="06980A2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14:paraId="4998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3B20C636">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610" w:type="dxa"/>
            <w:noWrap w:val="0"/>
            <w:vAlign w:val="center"/>
          </w:tcPr>
          <w:p w14:paraId="049618EF">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35D4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5941596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610" w:type="dxa"/>
            <w:noWrap w:val="0"/>
            <w:vAlign w:val="center"/>
          </w:tcPr>
          <w:p w14:paraId="70B1493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55F7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32DBB966">
            <w:pPr>
              <w:spacing w:line="360" w:lineRule="auto"/>
              <w:rPr>
                <w:rFonts w:hint="eastAsia" w:ascii="仿宋" w:hAnsi="仿宋" w:eastAsia="仿宋" w:cs="仿宋"/>
                <w:color w:val="auto"/>
                <w:sz w:val="24"/>
                <w:szCs w:val="24"/>
                <w:highlight w:val="none"/>
              </w:rPr>
            </w:pPr>
          </w:p>
        </w:tc>
        <w:tc>
          <w:tcPr>
            <w:tcW w:w="4610" w:type="dxa"/>
            <w:noWrap w:val="0"/>
            <w:vAlign w:val="center"/>
          </w:tcPr>
          <w:p w14:paraId="428519B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0F75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29" w:type="dxa"/>
            <w:noWrap w:val="0"/>
            <w:vAlign w:val="center"/>
          </w:tcPr>
          <w:p w14:paraId="2BD106F2">
            <w:pPr>
              <w:spacing w:line="360" w:lineRule="auto"/>
              <w:rPr>
                <w:rFonts w:hint="eastAsia" w:ascii="仿宋" w:hAnsi="仿宋" w:eastAsia="仿宋" w:cs="仿宋"/>
                <w:color w:val="auto"/>
                <w:sz w:val="24"/>
                <w:szCs w:val="24"/>
                <w:highlight w:val="none"/>
              </w:rPr>
            </w:pPr>
          </w:p>
        </w:tc>
        <w:tc>
          <w:tcPr>
            <w:tcW w:w="4610" w:type="dxa"/>
            <w:noWrap w:val="0"/>
            <w:vAlign w:val="center"/>
          </w:tcPr>
          <w:p w14:paraId="4CF4A0E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r w14:paraId="2095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529" w:type="dxa"/>
            <w:noWrap w:val="0"/>
            <w:vAlign w:val="center"/>
          </w:tcPr>
          <w:p w14:paraId="3375EF6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4610" w:type="dxa"/>
            <w:noWrap w:val="0"/>
            <w:vAlign w:val="center"/>
          </w:tcPr>
          <w:p w14:paraId="1592C0F1">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5191E7E3">
      <w:pPr>
        <w:pStyle w:val="13"/>
        <w:spacing w:line="360" w:lineRule="auto"/>
        <w:rPr>
          <w:color w:val="auto"/>
          <w:highlight w:val="none"/>
          <w:lang w:val="zh-CN"/>
        </w:rPr>
      </w:pPr>
    </w:p>
    <w:p w14:paraId="61AE75C1">
      <w:pPr>
        <w:pStyle w:val="18"/>
        <w:ind w:left="0" w:leftChars="0" w:firstLine="0" w:firstLineChars="0"/>
        <w:rPr>
          <w:rFonts w:hint="default"/>
          <w:highlight w:val="none"/>
          <w:lang w:val="en-US" w:eastAsia="zh-CN"/>
        </w:rPr>
      </w:pPr>
    </w:p>
    <w:p w14:paraId="77C6773B">
      <w:pPr>
        <w:rPr>
          <w:rFonts w:hint="eastAsia" w:ascii="仿宋" w:hAnsi="仿宋" w:eastAsia="仿宋" w:cs="仿宋"/>
          <w:highlight w:val="none"/>
          <w:lang w:val="en-US" w:eastAsia="zh-Hans"/>
        </w:rPr>
      </w:pPr>
      <w:r>
        <w:rPr>
          <w:rFonts w:hint="eastAsia" w:ascii="仿宋" w:hAnsi="仿宋" w:eastAsia="仿宋" w:cs="仿宋"/>
          <w:highlight w:val="none"/>
          <w:lang w:val="en-US" w:eastAsia="zh-Hans"/>
        </w:rPr>
        <w:br w:type="page"/>
      </w:r>
    </w:p>
    <w:p w14:paraId="6E2CE2D9">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附件1：</w:t>
      </w:r>
    </w:p>
    <w:p w14:paraId="329111C2">
      <w:pPr>
        <w:autoSpaceDE w:val="0"/>
        <w:autoSpaceDN w:val="0"/>
        <w:adjustRightInd w:val="0"/>
        <w:snapToGrid w:val="0"/>
        <w:spacing w:line="360" w:lineRule="auto"/>
        <w:jc w:val="center"/>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零配件一览表（价格在500元内的配件，含500元）</w:t>
      </w:r>
    </w:p>
    <w:p w14:paraId="464C8242">
      <w:pPr>
        <w:autoSpaceDE w:val="0"/>
        <w:autoSpaceDN w:val="0"/>
        <w:adjustRightInd w:val="0"/>
        <w:snapToGrid w:val="0"/>
        <w:spacing w:line="360" w:lineRule="auto"/>
        <w:jc w:val="right"/>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单位：人民币元</w:t>
      </w:r>
    </w:p>
    <w:tbl>
      <w:tblPr>
        <w:tblStyle w:val="20"/>
        <w:tblW w:w="51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3289"/>
        <w:gridCol w:w="1589"/>
        <w:gridCol w:w="1127"/>
        <w:gridCol w:w="872"/>
        <w:gridCol w:w="971"/>
      </w:tblGrid>
      <w:tr w14:paraId="13856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88" w:type="pct"/>
            <w:tcBorders>
              <w:top w:val="single" w:color="auto" w:sz="4" w:space="0"/>
              <w:left w:val="single" w:color="auto" w:sz="4" w:space="0"/>
              <w:bottom w:val="single" w:color="auto" w:sz="4" w:space="0"/>
            </w:tcBorders>
            <w:noWrap w:val="0"/>
            <w:vAlign w:val="center"/>
          </w:tcPr>
          <w:p w14:paraId="71A8DE5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序号</w:t>
            </w:r>
          </w:p>
        </w:tc>
        <w:tc>
          <w:tcPr>
            <w:tcW w:w="1890" w:type="pct"/>
            <w:tcBorders>
              <w:top w:val="single" w:color="auto" w:sz="4" w:space="0"/>
              <w:bottom w:val="single" w:color="auto" w:sz="4" w:space="0"/>
            </w:tcBorders>
            <w:noWrap w:val="0"/>
            <w:vAlign w:val="center"/>
          </w:tcPr>
          <w:p w14:paraId="23BFF2F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配件名称</w:t>
            </w:r>
          </w:p>
        </w:tc>
        <w:tc>
          <w:tcPr>
            <w:tcW w:w="913" w:type="pct"/>
            <w:tcBorders>
              <w:top w:val="single" w:color="auto" w:sz="4" w:space="0"/>
              <w:bottom w:val="single" w:color="auto" w:sz="4" w:space="0"/>
            </w:tcBorders>
            <w:noWrap w:val="0"/>
            <w:vAlign w:val="center"/>
          </w:tcPr>
          <w:p w14:paraId="6D1D47C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生产企业</w:t>
            </w:r>
          </w:p>
        </w:tc>
        <w:tc>
          <w:tcPr>
            <w:tcW w:w="647" w:type="pct"/>
            <w:tcBorders>
              <w:top w:val="single" w:color="auto" w:sz="4" w:space="0"/>
              <w:bottom w:val="single" w:color="auto" w:sz="4" w:space="0"/>
            </w:tcBorders>
            <w:noWrap w:val="0"/>
            <w:vAlign w:val="center"/>
          </w:tcPr>
          <w:p w14:paraId="78B007C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原产地</w:t>
            </w:r>
          </w:p>
        </w:tc>
        <w:tc>
          <w:tcPr>
            <w:tcW w:w="501" w:type="pct"/>
            <w:tcBorders>
              <w:top w:val="single" w:color="auto" w:sz="4" w:space="0"/>
              <w:bottom w:val="single" w:color="auto" w:sz="4" w:space="0"/>
            </w:tcBorders>
            <w:noWrap w:val="0"/>
            <w:vAlign w:val="center"/>
          </w:tcPr>
          <w:p w14:paraId="3BAEB86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单位</w:t>
            </w:r>
          </w:p>
        </w:tc>
        <w:tc>
          <w:tcPr>
            <w:tcW w:w="558" w:type="pct"/>
            <w:tcBorders>
              <w:top w:val="single" w:color="auto" w:sz="4" w:space="0"/>
              <w:bottom w:val="single" w:color="auto" w:sz="4" w:space="0"/>
              <w:right w:val="single" w:color="auto" w:sz="4" w:space="0"/>
            </w:tcBorders>
            <w:noWrap w:val="0"/>
            <w:vAlign w:val="center"/>
          </w:tcPr>
          <w:p w14:paraId="093C925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备注</w:t>
            </w:r>
          </w:p>
        </w:tc>
      </w:tr>
      <w:tr w14:paraId="1D48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88" w:type="pct"/>
            <w:tcBorders>
              <w:top w:val="single" w:color="auto" w:sz="4" w:space="0"/>
              <w:left w:val="single" w:color="auto" w:sz="4" w:space="0"/>
              <w:bottom w:val="single" w:color="auto" w:sz="4" w:space="0"/>
            </w:tcBorders>
            <w:noWrap w:val="0"/>
            <w:vAlign w:val="center"/>
          </w:tcPr>
          <w:p w14:paraId="6739665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1890" w:type="pct"/>
            <w:tcBorders>
              <w:top w:val="single" w:color="auto" w:sz="4" w:space="0"/>
              <w:bottom w:val="single" w:color="auto" w:sz="4" w:space="0"/>
            </w:tcBorders>
            <w:noWrap w:val="0"/>
            <w:vAlign w:val="center"/>
          </w:tcPr>
          <w:p w14:paraId="1C4A93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913" w:type="pct"/>
            <w:tcBorders>
              <w:top w:val="single" w:color="auto" w:sz="4" w:space="0"/>
              <w:bottom w:val="single" w:color="auto" w:sz="4" w:space="0"/>
            </w:tcBorders>
            <w:noWrap w:val="0"/>
            <w:vAlign w:val="center"/>
          </w:tcPr>
          <w:p w14:paraId="08608C9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647" w:type="pct"/>
            <w:tcBorders>
              <w:top w:val="single" w:color="auto" w:sz="4" w:space="0"/>
              <w:bottom w:val="single" w:color="auto" w:sz="4" w:space="0"/>
            </w:tcBorders>
            <w:noWrap w:val="0"/>
            <w:vAlign w:val="center"/>
          </w:tcPr>
          <w:p w14:paraId="714B7A2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01" w:type="pct"/>
            <w:tcBorders>
              <w:top w:val="single" w:color="auto" w:sz="4" w:space="0"/>
              <w:bottom w:val="single" w:color="auto" w:sz="4" w:space="0"/>
            </w:tcBorders>
            <w:noWrap w:val="0"/>
            <w:vAlign w:val="center"/>
          </w:tcPr>
          <w:p w14:paraId="175DFE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58" w:type="pct"/>
            <w:tcBorders>
              <w:top w:val="single" w:color="auto" w:sz="4" w:space="0"/>
              <w:bottom w:val="single" w:color="auto" w:sz="4" w:space="0"/>
              <w:right w:val="single" w:color="auto" w:sz="4" w:space="0"/>
            </w:tcBorders>
            <w:noWrap w:val="0"/>
            <w:vAlign w:val="center"/>
          </w:tcPr>
          <w:p w14:paraId="48FB03E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r w14:paraId="106D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88" w:type="pct"/>
            <w:tcBorders>
              <w:top w:val="single" w:color="auto" w:sz="4" w:space="0"/>
              <w:left w:val="single" w:color="auto" w:sz="4" w:space="0"/>
              <w:bottom w:val="single" w:color="auto" w:sz="4" w:space="0"/>
            </w:tcBorders>
            <w:noWrap w:val="0"/>
            <w:vAlign w:val="center"/>
          </w:tcPr>
          <w:p w14:paraId="71ED833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1890" w:type="pct"/>
            <w:tcBorders>
              <w:top w:val="single" w:color="auto" w:sz="4" w:space="0"/>
              <w:bottom w:val="single" w:color="auto" w:sz="4" w:space="0"/>
            </w:tcBorders>
            <w:noWrap w:val="0"/>
            <w:vAlign w:val="center"/>
          </w:tcPr>
          <w:p w14:paraId="2315352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913" w:type="pct"/>
            <w:tcBorders>
              <w:top w:val="single" w:color="auto" w:sz="4" w:space="0"/>
              <w:bottom w:val="single" w:color="auto" w:sz="4" w:space="0"/>
            </w:tcBorders>
            <w:noWrap w:val="0"/>
            <w:vAlign w:val="center"/>
          </w:tcPr>
          <w:p w14:paraId="7897CA8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647" w:type="pct"/>
            <w:tcBorders>
              <w:top w:val="single" w:color="auto" w:sz="4" w:space="0"/>
              <w:bottom w:val="single" w:color="auto" w:sz="4" w:space="0"/>
            </w:tcBorders>
            <w:noWrap w:val="0"/>
            <w:vAlign w:val="center"/>
          </w:tcPr>
          <w:p w14:paraId="66251E9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01" w:type="pct"/>
            <w:tcBorders>
              <w:top w:val="single" w:color="auto" w:sz="4" w:space="0"/>
              <w:bottom w:val="single" w:color="auto" w:sz="4" w:space="0"/>
            </w:tcBorders>
            <w:noWrap w:val="0"/>
            <w:vAlign w:val="center"/>
          </w:tcPr>
          <w:p w14:paraId="3133003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58" w:type="pct"/>
            <w:tcBorders>
              <w:top w:val="single" w:color="auto" w:sz="4" w:space="0"/>
              <w:bottom w:val="single" w:color="auto" w:sz="4" w:space="0"/>
              <w:right w:val="single" w:color="auto" w:sz="4" w:space="0"/>
            </w:tcBorders>
            <w:noWrap w:val="0"/>
            <w:vAlign w:val="center"/>
          </w:tcPr>
          <w:p w14:paraId="7CF2211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r w14:paraId="51A0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88" w:type="pct"/>
            <w:tcBorders>
              <w:top w:val="single" w:color="auto" w:sz="4" w:space="0"/>
              <w:left w:val="single" w:color="auto" w:sz="4" w:space="0"/>
              <w:bottom w:val="single" w:color="auto" w:sz="4" w:space="0"/>
            </w:tcBorders>
            <w:noWrap w:val="0"/>
            <w:vAlign w:val="center"/>
          </w:tcPr>
          <w:p w14:paraId="0DB295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1890" w:type="pct"/>
            <w:tcBorders>
              <w:top w:val="single" w:color="auto" w:sz="4" w:space="0"/>
              <w:bottom w:val="single" w:color="auto" w:sz="4" w:space="0"/>
            </w:tcBorders>
            <w:noWrap w:val="0"/>
            <w:vAlign w:val="center"/>
          </w:tcPr>
          <w:p w14:paraId="68644EC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913" w:type="pct"/>
            <w:tcBorders>
              <w:top w:val="single" w:color="auto" w:sz="4" w:space="0"/>
              <w:bottom w:val="single" w:color="auto" w:sz="4" w:space="0"/>
            </w:tcBorders>
            <w:noWrap w:val="0"/>
            <w:vAlign w:val="center"/>
          </w:tcPr>
          <w:p w14:paraId="1EAAA5A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647" w:type="pct"/>
            <w:tcBorders>
              <w:top w:val="single" w:color="auto" w:sz="4" w:space="0"/>
              <w:bottom w:val="single" w:color="auto" w:sz="4" w:space="0"/>
            </w:tcBorders>
            <w:noWrap w:val="0"/>
            <w:vAlign w:val="center"/>
          </w:tcPr>
          <w:p w14:paraId="0F60248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01" w:type="pct"/>
            <w:tcBorders>
              <w:top w:val="single" w:color="auto" w:sz="4" w:space="0"/>
              <w:bottom w:val="single" w:color="auto" w:sz="4" w:space="0"/>
            </w:tcBorders>
            <w:noWrap w:val="0"/>
            <w:vAlign w:val="center"/>
          </w:tcPr>
          <w:p w14:paraId="3BD4757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58" w:type="pct"/>
            <w:tcBorders>
              <w:top w:val="single" w:color="auto" w:sz="4" w:space="0"/>
              <w:bottom w:val="single" w:color="auto" w:sz="4" w:space="0"/>
              <w:right w:val="single" w:color="auto" w:sz="4" w:space="0"/>
            </w:tcBorders>
            <w:noWrap w:val="0"/>
            <w:vAlign w:val="center"/>
          </w:tcPr>
          <w:p w14:paraId="58C56AF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r w14:paraId="6006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88" w:type="pct"/>
            <w:tcBorders>
              <w:top w:val="single" w:color="auto" w:sz="4" w:space="0"/>
              <w:left w:val="single" w:color="auto" w:sz="4" w:space="0"/>
            </w:tcBorders>
            <w:noWrap w:val="0"/>
            <w:vAlign w:val="center"/>
          </w:tcPr>
          <w:p w14:paraId="2E2D34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w:t>
            </w:r>
          </w:p>
        </w:tc>
        <w:tc>
          <w:tcPr>
            <w:tcW w:w="1890" w:type="pct"/>
            <w:tcBorders>
              <w:top w:val="single" w:color="auto" w:sz="4" w:space="0"/>
            </w:tcBorders>
            <w:noWrap w:val="0"/>
            <w:vAlign w:val="center"/>
          </w:tcPr>
          <w:p w14:paraId="38FC571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913" w:type="pct"/>
            <w:tcBorders>
              <w:top w:val="single" w:color="auto" w:sz="4" w:space="0"/>
            </w:tcBorders>
            <w:noWrap w:val="0"/>
            <w:vAlign w:val="center"/>
          </w:tcPr>
          <w:p w14:paraId="65A70F7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647" w:type="pct"/>
            <w:tcBorders>
              <w:top w:val="single" w:color="auto" w:sz="4" w:space="0"/>
            </w:tcBorders>
            <w:noWrap w:val="0"/>
            <w:vAlign w:val="center"/>
          </w:tcPr>
          <w:p w14:paraId="621C7C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01" w:type="pct"/>
            <w:tcBorders>
              <w:top w:val="single" w:color="auto" w:sz="4" w:space="0"/>
            </w:tcBorders>
            <w:noWrap w:val="0"/>
            <w:vAlign w:val="center"/>
          </w:tcPr>
          <w:p w14:paraId="0133E63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58" w:type="pct"/>
            <w:tcBorders>
              <w:top w:val="single" w:color="auto" w:sz="4" w:space="0"/>
              <w:right w:val="single" w:color="auto" w:sz="4" w:space="0"/>
            </w:tcBorders>
            <w:noWrap w:val="0"/>
            <w:vAlign w:val="center"/>
          </w:tcPr>
          <w:p w14:paraId="71D8949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bl>
    <w:p w14:paraId="1CA6DCD9">
      <w:pPr>
        <w:rPr>
          <w:rFonts w:hint="default" w:ascii="仿宋" w:hAnsi="仿宋" w:eastAsia="仿宋" w:cs="仿宋"/>
          <w:highlight w:val="none"/>
          <w:lang w:val="en-US" w:eastAsia="zh-CN"/>
        </w:rPr>
      </w:pPr>
      <w:r>
        <w:rPr>
          <w:rFonts w:hint="default" w:ascii="仿宋" w:hAnsi="仿宋" w:eastAsia="仿宋" w:cs="仿宋"/>
          <w:highlight w:val="none"/>
          <w:lang w:val="en-US" w:eastAsia="zh-CN"/>
        </w:rPr>
        <w:br w:type="page"/>
      </w:r>
    </w:p>
    <w:p w14:paraId="7ABE8DAE">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附件2：</w:t>
      </w:r>
    </w:p>
    <w:p w14:paraId="5B6787AD">
      <w:pPr>
        <w:pStyle w:val="4"/>
        <w:bidi w:val="0"/>
        <w:rPr>
          <w:rFonts w:hint="default" w:ascii="仿宋" w:hAnsi="仿宋" w:eastAsia="仿宋" w:cs="仿宋"/>
          <w:b w:val="0"/>
          <w:bCs/>
          <w:color w:val="auto"/>
          <w:kern w:val="2"/>
          <w:sz w:val="20"/>
          <w:szCs w:val="20"/>
          <w:highlight w:val="none"/>
          <w:lang w:val="en-US" w:eastAsia="zh-CN" w:bidi="ar-SA"/>
        </w:rPr>
      </w:pPr>
      <w:r>
        <w:rPr>
          <w:rFonts w:hint="eastAsia"/>
          <w:sz w:val="28"/>
          <w:szCs w:val="28"/>
          <w:highlight w:val="none"/>
          <w:lang w:val="en-US" w:eastAsia="zh-CN"/>
        </w:rPr>
        <w:t>投标总报价外长期优惠供应备品备件、易损件明细表</w:t>
      </w:r>
      <w:r>
        <w:rPr>
          <w:rFonts w:hint="eastAsia" w:ascii="仿宋" w:hAnsi="仿宋" w:eastAsia="仿宋" w:cs="仿宋"/>
          <w:b/>
          <w:bCs w:val="0"/>
          <w:color w:val="auto"/>
          <w:kern w:val="2"/>
          <w:sz w:val="28"/>
          <w:szCs w:val="28"/>
          <w:highlight w:val="none"/>
          <w:lang w:val="en-US" w:eastAsia="zh-CN" w:bidi="ar-SA"/>
        </w:rPr>
        <w:t>（＞500元）</w:t>
      </w:r>
    </w:p>
    <w:p w14:paraId="21A9B97A">
      <w:pPr>
        <w:autoSpaceDE w:val="0"/>
        <w:autoSpaceDN w:val="0"/>
        <w:adjustRightInd w:val="0"/>
        <w:snapToGrid w:val="0"/>
        <w:spacing w:line="360" w:lineRule="auto"/>
        <w:ind w:firstLine="420" w:firstLineChars="200"/>
        <w:jc w:val="right"/>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单位：人民币元</w:t>
      </w:r>
    </w:p>
    <w:tbl>
      <w:tblPr>
        <w:tblStyle w:val="20"/>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356"/>
        <w:gridCol w:w="1217"/>
        <w:gridCol w:w="974"/>
        <w:gridCol w:w="892"/>
        <w:gridCol w:w="717"/>
        <w:gridCol w:w="714"/>
        <w:gridCol w:w="714"/>
        <w:gridCol w:w="626"/>
        <w:gridCol w:w="714"/>
      </w:tblGrid>
      <w:tr w14:paraId="3B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365" w:type="pct"/>
            <w:tcBorders>
              <w:top w:val="single" w:color="auto" w:sz="12" w:space="0"/>
              <w:left w:val="single" w:color="auto" w:sz="12" w:space="0"/>
            </w:tcBorders>
            <w:noWrap w:val="0"/>
            <w:vAlign w:val="center"/>
          </w:tcPr>
          <w:p w14:paraId="2E0937A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序号</w:t>
            </w:r>
          </w:p>
        </w:tc>
        <w:tc>
          <w:tcPr>
            <w:tcW w:w="793" w:type="pct"/>
            <w:tcBorders>
              <w:top w:val="single" w:color="auto" w:sz="12" w:space="0"/>
            </w:tcBorders>
            <w:noWrap w:val="0"/>
            <w:vAlign w:val="center"/>
          </w:tcPr>
          <w:p w14:paraId="15408A8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备品备件／易损件</w:t>
            </w:r>
          </w:p>
        </w:tc>
        <w:tc>
          <w:tcPr>
            <w:tcW w:w="711" w:type="pct"/>
            <w:tcBorders>
              <w:top w:val="single" w:color="auto" w:sz="12" w:space="0"/>
            </w:tcBorders>
            <w:noWrap w:val="0"/>
            <w:vAlign w:val="center"/>
          </w:tcPr>
          <w:p w14:paraId="1714934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生产企业</w:t>
            </w:r>
          </w:p>
        </w:tc>
        <w:tc>
          <w:tcPr>
            <w:tcW w:w="569" w:type="pct"/>
            <w:tcBorders>
              <w:top w:val="single" w:color="auto" w:sz="12" w:space="0"/>
            </w:tcBorders>
            <w:noWrap w:val="0"/>
            <w:vAlign w:val="center"/>
          </w:tcPr>
          <w:p w14:paraId="2F67CE5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原产地</w:t>
            </w:r>
          </w:p>
        </w:tc>
        <w:tc>
          <w:tcPr>
            <w:tcW w:w="521" w:type="pct"/>
            <w:tcBorders>
              <w:top w:val="single" w:color="auto" w:sz="12" w:space="0"/>
            </w:tcBorders>
            <w:noWrap w:val="0"/>
            <w:vAlign w:val="center"/>
          </w:tcPr>
          <w:p w14:paraId="5098158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型号规格</w:t>
            </w:r>
          </w:p>
        </w:tc>
        <w:tc>
          <w:tcPr>
            <w:tcW w:w="419" w:type="pct"/>
            <w:tcBorders>
              <w:top w:val="single" w:color="auto" w:sz="12" w:space="0"/>
            </w:tcBorders>
            <w:noWrap w:val="0"/>
            <w:vAlign w:val="center"/>
          </w:tcPr>
          <w:p w14:paraId="3A92D1D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单 位</w:t>
            </w:r>
          </w:p>
        </w:tc>
        <w:tc>
          <w:tcPr>
            <w:tcW w:w="417" w:type="pct"/>
            <w:tcBorders>
              <w:top w:val="single" w:color="auto" w:sz="12" w:space="0"/>
            </w:tcBorders>
            <w:noWrap w:val="0"/>
            <w:vAlign w:val="center"/>
          </w:tcPr>
          <w:p w14:paraId="7B5165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数 量</w:t>
            </w:r>
          </w:p>
        </w:tc>
        <w:tc>
          <w:tcPr>
            <w:tcW w:w="417" w:type="pct"/>
            <w:tcBorders>
              <w:top w:val="single" w:color="auto" w:sz="12" w:space="0"/>
            </w:tcBorders>
            <w:noWrap w:val="0"/>
            <w:vAlign w:val="center"/>
          </w:tcPr>
          <w:p w14:paraId="30DC8C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单 价</w:t>
            </w:r>
          </w:p>
        </w:tc>
        <w:tc>
          <w:tcPr>
            <w:tcW w:w="366" w:type="pct"/>
            <w:tcBorders>
              <w:top w:val="single" w:color="auto" w:sz="12" w:space="0"/>
            </w:tcBorders>
            <w:noWrap w:val="0"/>
            <w:vAlign w:val="center"/>
          </w:tcPr>
          <w:p w14:paraId="1A45F4A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合价</w:t>
            </w:r>
          </w:p>
        </w:tc>
        <w:tc>
          <w:tcPr>
            <w:tcW w:w="417" w:type="pct"/>
            <w:tcBorders>
              <w:top w:val="single" w:color="auto" w:sz="12" w:space="0"/>
              <w:right w:val="single" w:color="auto" w:sz="12" w:space="0"/>
            </w:tcBorders>
            <w:noWrap w:val="0"/>
            <w:vAlign w:val="center"/>
          </w:tcPr>
          <w:p w14:paraId="7D6E36B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备 注</w:t>
            </w:r>
          </w:p>
        </w:tc>
      </w:tr>
      <w:tr w14:paraId="6DBA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365" w:type="pct"/>
            <w:tcBorders>
              <w:left w:val="single" w:color="auto" w:sz="12" w:space="0"/>
            </w:tcBorders>
            <w:noWrap w:val="0"/>
            <w:vAlign w:val="top"/>
          </w:tcPr>
          <w:p w14:paraId="190C627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793" w:type="pct"/>
            <w:noWrap w:val="0"/>
            <w:vAlign w:val="top"/>
          </w:tcPr>
          <w:p w14:paraId="7180DAE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711" w:type="pct"/>
            <w:noWrap w:val="0"/>
            <w:vAlign w:val="top"/>
          </w:tcPr>
          <w:p w14:paraId="406DC1E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69" w:type="pct"/>
            <w:noWrap w:val="0"/>
            <w:vAlign w:val="top"/>
          </w:tcPr>
          <w:p w14:paraId="440FFB8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21" w:type="pct"/>
            <w:noWrap w:val="0"/>
            <w:vAlign w:val="top"/>
          </w:tcPr>
          <w:p w14:paraId="3FD0568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9" w:type="pct"/>
            <w:noWrap w:val="0"/>
            <w:vAlign w:val="top"/>
          </w:tcPr>
          <w:p w14:paraId="4118416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0249994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2B65E23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366" w:type="pct"/>
            <w:noWrap w:val="0"/>
            <w:vAlign w:val="top"/>
          </w:tcPr>
          <w:p w14:paraId="5E42F6F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tcBorders>
              <w:right w:val="single" w:color="auto" w:sz="12" w:space="0"/>
            </w:tcBorders>
            <w:noWrap w:val="0"/>
            <w:vAlign w:val="top"/>
          </w:tcPr>
          <w:p w14:paraId="00E5D45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r w14:paraId="5AF9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365" w:type="pct"/>
            <w:tcBorders>
              <w:left w:val="single" w:color="auto" w:sz="12" w:space="0"/>
            </w:tcBorders>
            <w:noWrap w:val="0"/>
            <w:vAlign w:val="top"/>
          </w:tcPr>
          <w:p w14:paraId="44F4BAA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793" w:type="pct"/>
            <w:noWrap w:val="0"/>
            <w:vAlign w:val="top"/>
          </w:tcPr>
          <w:p w14:paraId="6B2BEBA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711" w:type="pct"/>
            <w:noWrap w:val="0"/>
            <w:vAlign w:val="top"/>
          </w:tcPr>
          <w:p w14:paraId="6E5361E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69" w:type="pct"/>
            <w:noWrap w:val="0"/>
            <w:vAlign w:val="top"/>
          </w:tcPr>
          <w:p w14:paraId="4505799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21" w:type="pct"/>
            <w:noWrap w:val="0"/>
            <w:vAlign w:val="top"/>
          </w:tcPr>
          <w:p w14:paraId="48748C9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9" w:type="pct"/>
            <w:noWrap w:val="0"/>
            <w:vAlign w:val="top"/>
          </w:tcPr>
          <w:p w14:paraId="26CF6D1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22BC300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0F2E674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366" w:type="pct"/>
            <w:noWrap w:val="0"/>
            <w:vAlign w:val="top"/>
          </w:tcPr>
          <w:p w14:paraId="6C8922D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tcBorders>
              <w:right w:val="single" w:color="auto" w:sz="12" w:space="0"/>
            </w:tcBorders>
            <w:noWrap w:val="0"/>
            <w:vAlign w:val="top"/>
          </w:tcPr>
          <w:p w14:paraId="638805E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r w14:paraId="499E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65" w:type="pct"/>
            <w:tcBorders>
              <w:left w:val="single" w:color="auto" w:sz="12" w:space="0"/>
            </w:tcBorders>
            <w:noWrap w:val="0"/>
            <w:vAlign w:val="top"/>
          </w:tcPr>
          <w:p w14:paraId="53D628F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w:t>
            </w:r>
          </w:p>
        </w:tc>
        <w:tc>
          <w:tcPr>
            <w:tcW w:w="793" w:type="pct"/>
            <w:noWrap w:val="0"/>
            <w:vAlign w:val="top"/>
          </w:tcPr>
          <w:p w14:paraId="735779C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711" w:type="pct"/>
            <w:noWrap w:val="0"/>
            <w:vAlign w:val="top"/>
          </w:tcPr>
          <w:p w14:paraId="5290B3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69" w:type="pct"/>
            <w:noWrap w:val="0"/>
            <w:vAlign w:val="top"/>
          </w:tcPr>
          <w:p w14:paraId="35532BE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521" w:type="pct"/>
            <w:noWrap w:val="0"/>
            <w:vAlign w:val="top"/>
          </w:tcPr>
          <w:p w14:paraId="62B0374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9" w:type="pct"/>
            <w:noWrap w:val="0"/>
            <w:vAlign w:val="top"/>
          </w:tcPr>
          <w:p w14:paraId="2D16BFF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23D89D8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noWrap w:val="0"/>
            <w:vAlign w:val="top"/>
          </w:tcPr>
          <w:p w14:paraId="0D4AB7E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366" w:type="pct"/>
            <w:noWrap w:val="0"/>
            <w:vAlign w:val="top"/>
          </w:tcPr>
          <w:p w14:paraId="77C9C23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c>
          <w:tcPr>
            <w:tcW w:w="417" w:type="pct"/>
            <w:tcBorders>
              <w:right w:val="single" w:color="auto" w:sz="12" w:space="0"/>
            </w:tcBorders>
            <w:noWrap w:val="0"/>
            <w:vAlign w:val="top"/>
          </w:tcPr>
          <w:p w14:paraId="160871C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outlineLvl w:val="9"/>
              <w:rPr>
                <w:rFonts w:hint="eastAsia" w:ascii="仿宋" w:hAnsi="仿宋" w:eastAsia="仿宋" w:cs="仿宋"/>
                <w:bCs/>
                <w:color w:val="auto"/>
                <w:sz w:val="21"/>
                <w:szCs w:val="21"/>
                <w:highlight w:val="none"/>
                <w:lang w:val="en-US" w:eastAsia="zh-CN"/>
              </w:rPr>
            </w:pPr>
          </w:p>
        </w:tc>
      </w:tr>
    </w:tbl>
    <w:p w14:paraId="4A0E5F21">
      <w:pPr>
        <w:rPr>
          <w:rFonts w:hint="default" w:ascii="仿宋" w:hAnsi="仿宋" w:eastAsia="仿宋" w:cs="仿宋"/>
          <w:highlight w:val="none"/>
          <w:lang w:val="en-US" w:eastAsia="zh-CN"/>
        </w:rPr>
      </w:pPr>
    </w:p>
    <w:p w14:paraId="6466C44D">
      <w:pPr>
        <w:rPr>
          <w:rFonts w:hint="eastAsia"/>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6"/>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16"/>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65F63B">
                    <w:pPr>
                      <w:pStyle w:val="16"/>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6"/>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6"/>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97474A8"/>
    <w:rsid w:val="0AB64089"/>
    <w:rsid w:val="0B4121B4"/>
    <w:rsid w:val="0BD83185"/>
    <w:rsid w:val="0C6576D1"/>
    <w:rsid w:val="0CCF7411"/>
    <w:rsid w:val="0D135C89"/>
    <w:rsid w:val="0D8B4292"/>
    <w:rsid w:val="0DCE1ADD"/>
    <w:rsid w:val="0E963FDB"/>
    <w:rsid w:val="0EC5559E"/>
    <w:rsid w:val="0ED17E6C"/>
    <w:rsid w:val="0F976343"/>
    <w:rsid w:val="105C0E12"/>
    <w:rsid w:val="107B1275"/>
    <w:rsid w:val="12800590"/>
    <w:rsid w:val="12A365A3"/>
    <w:rsid w:val="13033CDB"/>
    <w:rsid w:val="13150045"/>
    <w:rsid w:val="14543459"/>
    <w:rsid w:val="14861F02"/>
    <w:rsid w:val="14E52192"/>
    <w:rsid w:val="154A6DF0"/>
    <w:rsid w:val="16FE6557"/>
    <w:rsid w:val="176F6BB0"/>
    <w:rsid w:val="17D64044"/>
    <w:rsid w:val="18094FCA"/>
    <w:rsid w:val="18F64E36"/>
    <w:rsid w:val="19584A22"/>
    <w:rsid w:val="1A02767A"/>
    <w:rsid w:val="1A8C3B1A"/>
    <w:rsid w:val="1B9D385D"/>
    <w:rsid w:val="1BA32D63"/>
    <w:rsid w:val="1C252119"/>
    <w:rsid w:val="1CF1774B"/>
    <w:rsid w:val="1DB22149"/>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AB580F"/>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4FE0099B"/>
    <w:rsid w:val="50A8592E"/>
    <w:rsid w:val="51A754EC"/>
    <w:rsid w:val="51AF69CD"/>
    <w:rsid w:val="521600BC"/>
    <w:rsid w:val="52420EF7"/>
    <w:rsid w:val="52963321"/>
    <w:rsid w:val="52A14EC3"/>
    <w:rsid w:val="534B638F"/>
    <w:rsid w:val="53F21995"/>
    <w:rsid w:val="5418220F"/>
    <w:rsid w:val="546045FE"/>
    <w:rsid w:val="554D5290"/>
    <w:rsid w:val="56137B46"/>
    <w:rsid w:val="56296E24"/>
    <w:rsid w:val="569B4C2B"/>
    <w:rsid w:val="56E04626"/>
    <w:rsid w:val="57DC64E0"/>
    <w:rsid w:val="57FB5468"/>
    <w:rsid w:val="581A515D"/>
    <w:rsid w:val="584125D2"/>
    <w:rsid w:val="58AE1A31"/>
    <w:rsid w:val="58B053E8"/>
    <w:rsid w:val="58CB3CE0"/>
    <w:rsid w:val="592C57DA"/>
    <w:rsid w:val="595A5E33"/>
    <w:rsid w:val="59EA7F4F"/>
    <w:rsid w:val="5ADC54F0"/>
    <w:rsid w:val="5C741667"/>
    <w:rsid w:val="5CAB1AAC"/>
    <w:rsid w:val="5D186F18"/>
    <w:rsid w:val="5D9341C4"/>
    <w:rsid w:val="5E5B2FBB"/>
    <w:rsid w:val="5F0745CE"/>
    <w:rsid w:val="5FCC6BAB"/>
    <w:rsid w:val="60886A5A"/>
    <w:rsid w:val="610464A6"/>
    <w:rsid w:val="61DF614B"/>
    <w:rsid w:val="629B3C5A"/>
    <w:rsid w:val="62A35618"/>
    <w:rsid w:val="62FC4118"/>
    <w:rsid w:val="636C5BCF"/>
    <w:rsid w:val="63D24027"/>
    <w:rsid w:val="64846CBA"/>
    <w:rsid w:val="650258C5"/>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6"/>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15">
    <w:name w:val="envelope return"/>
    <w:basedOn w:val="1"/>
    <w:qFormat/>
    <w:uiPriority w:val="99"/>
    <w:pPr>
      <w:snapToGrid w:val="0"/>
    </w:pPr>
    <w:rPr>
      <w:rFonts w:ascii="Arial" w:hAnsi="Arial" w:cs="Arial"/>
    </w:rPr>
  </w:style>
  <w:style w:type="paragraph" w:styleId="1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w:basedOn w:val="13"/>
    <w:next w:val="1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9">
    <w:name w:val="Body Text First Indent 2"/>
    <w:basedOn w:val="14"/>
    <w:next w:val="18"/>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2 Char1"/>
    <w:link w:val="3"/>
    <w:qFormat/>
    <w:uiPriority w:val="0"/>
    <w:rPr>
      <w:rFonts w:ascii="Arial" w:hAnsi="Arial" w:eastAsia="宋体" w:cs="Times New Roman"/>
      <w:b/>
      <w:bCs/>
      <w:kern w:val="0"/>
      <w:sz w:val="36"/>
      <w:szCs w:val="22"/>
      <w:lang w:val="zh-CN" w:bidi="zh-CN"/>
    </w:rPr>
  </w:style>
  <w:style w:type="character" w:customStyle="1" w:styleId="24">
    <w:name w:val="标题 3 Char"/>
    <w:basedOn w:val="22"/>
    <w:link w:val="4"/>
    <w:qFormat/>
    <w:uiPriority w:val="0"/>
    <w:rPr>
      <w:rFonts w:ascii="Times New Roman" w:hAnsi="Times New Roman" w:eastAsia="宋体" w:cs="Times New Roman"/>
      <w:b/>
      <w:bCs/>
      <w:kern w:val="2"/>
      <w:sz w:val="32"/>
      <w:szCs w:val="32"/>
    </w:rPr>
  </w:style>
  <w:style w:type="character" w:customStyle="1" w:styleId="25">
    <w:name w:val="标题 1 Char"/>
    <w:basedOn w:val="22"/>
    <w:link w:val="2"/>
    <w:qFormat/>
    <w:uiPriority w:val="0"/>
    <w:rPr>
      <w:rFonts w:ascii="黑体" w:hAnsi="黑体" w:eastAsia="宋体" w:cs="Times New Roman"/>
      <w:b/>
      <w:kern w:val="2"/>
      <w:sz w:val="36"/>
      <w:szCs w:val="24"/>
    </w:rPr>
  </w:style>
  <w:style w:type="character" w:customStyle="1" w:styleId="26">
    <w:name w:val="标题 4 Char"/>
    <w:basedOn w:val="22"/>
    <w:link w:val="5"/>
    <w:qFormat/>
    <w:uiPriority w:val="0"/>
    <w:rPr>
      <w:rFonts w:ascii="宋体" w:hAnsi="宋体" w:eastAsia="宋体" w:cs="Arial"/>
      <w:b/>
      <w:snapToGrid w:val="0"/>
      <w:color w:val="000000"/>
      <w:kern w:val="0"/>
      <w:sz w:val="30"/>
      <w:szCs w:val="21"/>
      <w:u w:val="none"/>
      <w:lang w:val="zh-CN" w:bidi="zh-CN"/>
    </w:rPr>
  </w:style>
  <w:style w:type="paragraph" w:customStyle="1" w:styleId="2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9</Pages>
  <Words>1758</Words>
  <Characters>2587</Characters>
  <Lines>0</Lines>
  <Paragraphs>0</Paragraphs>
  <TotalTime>0</TotalTime>
  <ScaleCrop>false</ScaleCrop>
  <LinksUpToDate>false</LinksUpToDate>
  <CharactersWithSpaces>2654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2026-03-16T01:10:21Z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61023C75B6494CF2942B61BB4D0589AA_13</vt:lpwstr>
  </property>
  <property fmtid="{D5CDD505-2E9C-101B-9397-08002B2CF9AE}" pid="4" name="KSOTemplateDocerSaveRecord">
    <vt:lpwstr>eyJoZGlkIjoiMTIzYjBkMDE0MDUwZWU1MDYzY2M0YTJiMmIyMWQyNDYiLCJ1c2VySWQiOiI5MTQ3Njg1NjkifQ==</vt:lpwstr>
  </property>
</Properties>
</file>