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版本号：ZCTH2026-03-01220260313001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2026年教育服务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ZCTH2026-03-012</w:t>
      </w:r>
      <w:r>
        <w:br/>
      </w:r>
      <w:r>
        <w:br/>
      </w:r>
      <w:r>
        <w:br/>
      </w:r>
    </w:p>
    <w:p>
      <w:pPr>
        <w:pStyle w:val="null3"/>
        <w:jc w:val="center"/>
        <w:outlineLvl w:val="2"/>
      </w:pPr>
      <w:r>
        <w:rPr>
          <w:rFonts w:ascii="仿宋_GB2312" w:hAnsi="仿宋_GB2312" w:cs="仿宋_GB2312" w:eastAsia="仿宋_GB2312"/>
          <w:sz w:val="28"/>
          <w:b/>
        </w:rPr>
        <w:t>西安市体育运动学校</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西安市体育运动学校</w:t>
      </w:r>
      <w:r>
        <w:rPr>
          <w:rFonts w:ascii="仿宋_GB2312" w:hAnsi="仿宋_GB2312" w:cs="仿宋_GB2312" w:eastAsia="仿宋_GB2312"/>
        </w:rPr>
        <w:t>委托，拟对</w:t>
      </w:r>
      <w:r>
        <w:rPr>
          <w:rFonts w:ascii="仿宋_GB2312" w:hAnsi="仿宋_GB2312" w:cs="仿宋_GB2312" w:eastAsia="仿宋_GB2312"/>
        </w:rPr>
        <w:t>2026年教育服务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ZCTH2026-03-012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2026年教育服务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2026年教育服务，保障179个课时的教学服务。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采购包1（2026年教育服务）：属于专门面向中小企业采购。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 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财务状况报告：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6、书面声明：提供具有履行本合同所必需的设备和专业技术能力的声明、参加采购活动前3年内在经营活动中没有重大违法记录的书面承诺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西安市体育运动学校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陕西省西安市灞桥区林泓路西安市体育训练中心保障楼9楼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西安市体育运动学校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杨玉婷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代理服务费收费标准：1.参照国家计委计价格[2002]1980号及发改办价格[2003]857号通知 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 注：代理服务费不足陆仟元整按陆仟元整收取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西安市体育运动学校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西安市体育运动学校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西安市体育运动学校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依据磋商文件要求、响应文件承诺、合同及国家或行业标准。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2026年教育服务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518,000.00</w:t>
      </w:r>
    </w:p>
    <w:p>
      <w:pPr>
        <w:pStyle w:val="null3"/>
      </w:pPr>
      <w:r>
        <w:rPr>
          <w:rFonts w:ascii="仿宋_GB2312" w:hAnsi="仿宋_GB2312" w:cs="仿宋_GB2312" w:eastAsia="仿宋_GB2312"/>
        </w:rPr>
        <w:t>采购包最高限价（元）: 518,000.00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518000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标的名称：518000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服务内容</w:t>
            </w:r>
          </w:p>
          <w:p>
            <w:pPr>
              <w:pStyle w:val="null3"/>
            </w:pPr>
            <w:r>
              <w:rPr>
                <w:rFonts w:ascii="仿宋_GB2312" w:hAnsi="仿宋_GB2312" w:cs="仿宋_GB2312" w:eastAsia="仿宋_GB2312"/>
                <w:sz w:val="21"/>
                <w:color w:val="000000"/>
              </w:rPr>
              <w:t>由乙方根据甲方教学要求负责制定教学计划，并负责授课教师的聘用、教学任务安排和管理以及工资待遇、课程安</w:t>
            </w:r>
            <w:r>
              <w:rPr>
                <w:rFonts w:ascii="仿宋_GB2312" w:hAnsi="仿宋_GB2312" w:cs="仿宋_GB2312" w:eastAsia="仿宋_GB2312"/>
                <w:sz w:val="21"/>
                <w:color w:val="000000"/>
              </w:rPr>
              <w:t>排。甲方根据乙方教学计划、教学进度，检查教学计划落实情况。</w:t>
            </w:r>
          </w:p>
          <w:p>
            <w:pPr>
              <w:pStyle w:val="null3"/>
            </w:pPr>
            <w:r>
              <w:rPr>
                <w:rFonts w:ascii="仿宋_GB2312" w:hAnsi="仿宋_GB2312" w:cs="仿宋_GB2312" w:eastAsia="仿宋_GB2312"/>
                <w:sz w:val="21"/>
                <w:color w:val="000000"/>
              </w:rPr>
              <w:t>保障179个课时的教学服务</w:t>
            </w:r>
          </w:p>
          <w:tbl>
            <w:tblPr>
              <w:tblBorders>
                <w:top w:val="single"/>
                <w:left w:val="single"/>
                <w:bottom w:val="single"/>
                <w:right w:val="single"/>
                <w:insideH w:val="single"/>
                <w:insideV w:val="singl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学期</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周课时（节数）</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周数（周）</w:t>
                  </w:r>
                </w:p>
              </w:tc>
            </w:tr>
            <w:tr>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2025-2026（2）</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68</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r>
            <w:tr>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2026-2027（1）</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111</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r>
            <w:tr>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合计</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179</w:t>
                  </w:r>
                </w:p>
              </w:tc>
              <w:tc>
                <w:tcPr>
                  <w:tcW w:type="dxa" w:w="6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按“技术参数与性能指标”中实际需求配备相应人员</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服务质量：质量达到现行合格标准，符合国家、行业、地方规定的质量和安全标准要求。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质检机构、采购代理机构共同进行验收,验收费用由中标人支付；验收合格须交接项目实施的全部资料，并填写政府采购项目验收报告单。验收须以合同、招投标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服务合同签订后，由乙方提出付款申请并开具增值税发票 </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合同签订后两个月，由乙方提出付款申请并开具增值税发票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合同签订后四个月，由乙方提出付款申请并开具增值税发票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合同签订后六个月，由乙方提出付款申请并开具增值税发票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 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1.响应文件是否按照磋商文件规定提交的；2.响应文件的签署、加盖印章是否合格、有效；提供的各种证明文件、数据、资料是否真实、有效； 3.无投标有效期或有效期达不到磋商文件要求的；4.响应文件附加了采购人难以接受的条件或条款的；5.响应文件未实质性响应磋商文件要求的；6.不符合法律、法规和磋商文件中规定的其他实质性要求的。</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其他证明材料.docx 报价表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 求 分 析</w:t>
            </w:r>
          </w:p>
        </w:tc>
        <w:tc>
          <w:tcPr>
            <w:tcW w:type="dxa" w:w="2492"/>
          </w:tcPr>
          <w:p>
            <w:pPr>
              <w:pStyle w:val="null3"/>
            </w:pPr>
            <w:r>
              <w:rPr>
                <w:rFonts w:ascii="仿宋_GB2312" w:hAnsi="仿宋_GB2312" w:cs="仿宋_GB2312" w:eastAsia="仿宋_GB2312"/>
              </w:rPr>
              <w:t>一、评审内容 提供针对本项目采购人要求的服务内容的需求分析（包括但不限于①工作现状分析；②采购人业务需求分析；③行业特殊性的重点难点分析等方面）。 二、评审标准完善性：方案必须全面，对评审内容中的各项要求有详细阐述； 2、可实施性：切合本项目实际情况，提出步骤清晰、合理的方案； 3、针对性：方案能够紧扣项目实际情况，内容科学合理。 上述3项评审内容全部满足评审标准得18分，每有一个评审内容缺项扣6分，每有一项评审内容存在缺陷，扣（0-6）分。 说明：缺陷是指内容没有结合项目实际需 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服 务 方 案</w:t>
            </w:r>
          </w:p>
        </w:tc>
        <w:tc>
          <w:tcPr>
            <w:tcW w:type="dxa" w:w="2492"/>
          </w:tcPr>
          <w:p>
            <w:pPr>
              <w:pStyle w:val="null3"/>
            </w:pPr>
            <w:r>
              <w:rPr>
                <w:rFonts w:ascii="仿宋_GB2312" w:hAnsi="仿宋_GB2312" w:cs="仿宋_GB2312" w:eastAsia="仿宋_GB2312"/>
              </w:rPr>
              <w:t>一、评审内容 针对本项目提供具体可行的服务方案，包括但不限于①管理方案；②服务定位；③服务方案；④考核机制；⑤监督机制；⑥制定档案资料管理和移交工作制度。 二、评审标准 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上述6项评审内容全部满足评审标准得18分，每有一个评审内容缺项扣3分，每有一项评审内容存在缺陷，扣（0-3）分，扣完为止。 说明：缺陷是指内容 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服 务 质 量 控 制 措 施 及 承 诺</w:t>
            </w:r>
          </w:p>
        </w:tc>
        <w:tc>
          <w:tcPr>
            <w:tcW w:type="dxa" w:w="2492"/>
          </w:tcPr>
          <w:p>
            <w:pPr>
              <w:pStyle w:val="null3"/>
            </w:pPr>
            <w:r>
              <w:rPr>
                <w:rFonts w:ascii="仿宋_GB2312" w:hAnsi="仿宋_GB2312" w:cs="仿宋_GB2312" w:eastAsia="仿宋_GB2312"/>
              </w:rPr>
              <w:t>一、评审内容 针对本项目提供具体可行的服务质量控制措施及承诺，包括但不限于①培训方案；②有利于本项目实施的服务承诺；③质量保证措施。 二、评审标准 完善性：方案必须全面，对评审内容中的各项要求有详细阐述； 2、可实施性：切合本项目实际情况，提出步骤清晰、合理的方案； 3、针对性：方案能够紧扣项目实际情况，内容科学合理。上述3项评审内容全部满足评审标准得15分，每有一个评审内容缺项扣5分，每有一项评审内容存在缺陷，扣（0-5）分，扣完为止。 说明：缺陷是指内容没有结合项目实际需求 、虽有内容但不完善、内容表述前后不一致、套用其他项目方案或与项目需求不匹配及其他不利于项目实施的等任意一种情形。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 目 团 队</w:t>
            </w:r>
          </w:p>
        </w:tc>
        <w:tc>
          <w:tcPr>
            <w:tcW w:type="dxa" w:w="2492"/>
          </w:tcPr>
          <w:p>
            <w:pPr>
              <w:pStyle w:val="null3"/>
            </w:pPr>
            <w:r>
              <w:rPr>
                <w:rFonts w:ascii="仿宋_GB2312" w:hAnsi="仿宋_GB2312" w:cs="仿宋_GB2312" w:eastAsia="仿宋_GB2312"/>
              </w:rPr>
              <w:t>一、评审内容 针对本项目提供具体可行的团队配置方案，包括但不限于①团队人员架构；②岗位人员配置合理，有丰富的项目经验；③团队人员管理制度。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上述3项评审内容全部满足评审标准得18分，每有一个评审内容缺项扣6分，每有一项评审内容存在缺陷，扣（0-6）分，扣完为止。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 急 方 案</w:t>
            </w:r>
          </w:p>
        </w:tc>
        <w:tc>
          <w:tcPr>
            <w:tcW w:type="dxa" w:w="2492"/>
          </w:tcPr>
          <w:p>
            <w:pPr>
              <w:pStyle w:val="null3"/>
            </w:pPr>
            <w:r>
              <w:rPr>
                <w:rFonts w:ascii="仿宋_GB2312" w:hAnsi="仿宋_GB2312" w:cs="仿宋_GB2312" w:eastAsia="仿宋_GB2312"/>
              </w:rPr>
              <w:t>一、评审内容 针对本项目提供具体可行的应急方案，包括但不限于①发生故障或事故时的应急方案；②劳务纠纷；③工伤处置预案。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 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供应商具有2023年1月至今的同类业绩证明文件（以合同签订时间为准），每提供一个得2分，满分6分。 注：响应文件中附加盖供应商公章的合同复印件。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价格分统一采用低价优先法计算，即满足磋商文件要求且管理费最低的磋商报价为磋商基准价，其价格分为满分。其他供应商的价格分统一按照下列公式计算： 磋商报价得分=(磋商基准价／磋商报价)×10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