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971909">
      <w:pPr>
        <w:jc w:val="center"/>
        <w:rPr>
          <w:rFonts w:hint="eastAsia" w:ascii="仿宋" w:hAnsi="仿宋" w:eastAsia="仿宋" w:cs="仿宋"/>
          <w:b/>
          <w:color w:val="auto"/>
          <w:spacing w:val="4"/>
          <w:sz w:val="52"/>
          <w:szCs w:val="48"/>
          <w:highlight w:val="none"/>
        </w:rPr>
      </w:pPr>
      <w:r>
        <w:rPr>
          <w:rFonts w:hint="eastAsia" w:ascii="仿宋" w:hAnsi="仿宋" w:eastAsia="仿宋" w:cs="仿宋"/>
          <w:b/>
          <w:color w:val="auto"/>
          <w:spacing w:val="4"/>
          <w:sz w:val="52"/>
          <w:szCs w:val="48"/>
          <w:highlight w:val="none"/>
        </w:rPr>
        <w:t>西安市中心医院货物类</w:t>
      </w:r>
    </w:p>
    <w:p w14:paraId="01A82DBD">
      <w:pPr>
        <w:ind w:firstLine="3233" w:firstLineChars="350"/>
        <w:rPr>
          <w:rFonts w:hint="eastAsia" w:ascii="仿宋" w:hAnsi="仿宋" w:eastAsia="仿宋" w:cs="仿宋"/>
          <w:b/>
          <w:color w:val="auto"/>
          <w:spacing w:val="-20"/>
          <w:sz w:val="96"/>
          <w:szCs w:val="58"/>
          <w:highlight w:val="none"/>
        </w:rPr>
      </w:pPr>
    </w:p>
    <w:p w14:paraId="2BEF595E">
      <w:pPr>
        <w:jc w:val="center"/>
        <w:rPr>
          <w:rFonts w:hint="eastAsia" w:ascii="仿宋" w:hAnsi="仿宋" w:eastAsia="仿宋" w:cs="仿宋"/>
          <w:b/>
          <w:color w:val="auto"/>
          <w:sz w:val="72"/>
          <w:szCs w:val="72"/>
          <w:highlight w:val="none"/>
        </w:rPr>
      </w:pPr>
      <w:r>
        <w:rPr>
          <w:rFonts w:hint="eastAsia" w:ascii="仿宋" w:hAnsi="仿宋" w:eastAsia="仿宋" w:cs="仿宋"/>
          <w:b/>
          <w:color w:val="auto"/>
          <w:sz w:val="72"/>
          <w:szCs w:val="72"/>
          <w:highlight w:val="none"/>
        </w:rPr>
        <w:t>合  同</w:t>
      </w:r>
    </w:p>
    <w:p w14:paraId="18443D59">
      <w:pPr>
        <w:jc w:val="center"/>
        <w:rPr>
          <w:rFonts w:hint="eastAsia" w:ascii="仿宋" w:hAnsi="仿宋" w:eastAsia="仿宋" w:cs="仿宋"/>
          <w:b/>
          <w:color w:val="auto"/>
          <w:sz w:val="72"/>
          <w:szCs w:val="72"/>
          <w:highlight w:val="none"/>
        </w:rPr>
      </w:pPr>
    </w:p>
    <w:p w14:paraId="0CF24847">
      <w:pPr>
        <w:ind w:firstLine="3080" w:firstLineChars="1100"/>
        <w:rPr>
          <w:rFonts w:hint="eastAsia" w:ascii="仿宋" w:hAnsi="仿宋" w:eastAsia="仿宋" w:cs="仿宋"/>
          <w:color w:val="auto"/>
          <w:sz w:val="28"/>
          <w:szCs w:val="30"/>
          <w:highlight w:val="none"/>
        </w:rPr>
      </w:pPr>
    </w:p>
    <w:p w14:paraId="45CB8BD2">
      <w:pPr>
        <w:ind w:firstLine="280" w:firstLineChars="1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30"/>
          <w:highlight w:val="none"/>
        </w:rPr>
        <w:t xml:space="preserve">项目名称： </w:t>
      </w:r>
      <w:r>
        <w:rPr>
          <w:rFonts w:hint="eastAsia" w:ascii="仿宋" w:hAnsi="仿宋" w:eastAsia="仿宋" w:cs="仿宋"/>
          <w:color w:val="auto"/>
          <w:sz w:val="28"/>
          <w:szCs w:val="30"/>
          <w:highlight w:val="none"/>
          <w:u w:val="single"/>
        </w:rPr>
        <w:t xml:space="preserve">                                 </w:t>
      </w:r>
      <w:r>
        <w:rPr>
          <w:rFonts w:hint="eastAsia" w:ascii="仿宋" w:hAnsi="仿宋" w:eastAsia="仿宋" w:cs="仿宋"/>
          <w:color w:val="auto"/>
          <w:sz w:val="28"/>
          <w:szCs w:val="28"/>
          <w:highlight w:val="none"/>
          <w:u w:val="single"/>
        </w:rPr>
        <w:t xml:space="preserve"> </w:t>
      </w:r>
    </w:p>
    <w:p w14:paraId="2CBFC614">
      <w:pPr>
        <w:ind w:firstLine="280" w:firstLineChars="1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 xml:space="preserve">项目编号： </w:t>
      </w:r>
      <w:r>
        <w:rPr>
          <w:rFonts w:hint="eastAsia" w:ascii="仿宋" w:hAnsi="仿宋" w:eastAsia="仿宋" w:cs="仿宋"/>
          <w:color w:val="auto"/>
          <w:sz w:val="28"/>
          <w:szCs w:val="28"/>
          <w:highlight w:val="none"/>
          <w:u w:val="single"/>
        </w:rPr>
        <w:t xml:space="preserve">                                  </w:t>
      </w:r>
    </w:p>
    <w:p w14:paraId="541EB3B3">
      <w:pPr>
        <w:jc w:val="center"/>
        <w:rPr>
          <w:rFonts w:hint="eastAsia" w:ascii="仿宋" w:hAnsi="仿宋" w:eastAsia="仿宋" w:cs="仿宋"/>
          <w:color w:val="auto"/>
          <w:sz w:val="28"/>
          <w:szCs w:val="30"/>
          <w:highlight w:val="none"/>
        </w:rPr>
      </w:pPr>
    </w:p>
    <w:p w14:paraId="38E0A9FA">
      <w:pPr>
        <w:jc w:val="center"/>
        <w:rPr>
          <w:rFonts w:hint="eastAsia" w:ascii="仿宋" w:hAnsi="仿宋" w:eastAsia="仿宋" w:cs="仿宋"/>
          <w:color w:val="auto"/>
          <w:sz w:val="28"/>
          <w:szCs w:val="30"/>
          <w:highlight w:val="none"/>
        </w:rPr>
      </w:pPr>
    </w:p>
    <w:p w14:paraId="1DE5AE65">
      <w:pPr>
        <w:jc w:val="center"/>
        <w:rPr>
          <w:rFonts w:hint="eastAsia" w:ascii="仿宋" w:hAnsi="仿宋" w:eastAsia="仿宋" w:cs="仿宋"/>
          <w:color w:val="auto"/>
          <w:sz w:val="28"/>
          <w:szCs w:val="30"/>
          <w:highlight w:val="none"/>
        </w:rPr>
      </w:pPr>
    </w:p>
    <w:p w14:paraId="0F60129D">
      <w:pPr>
        <w:ind w:firstLine="2240" w:firstLineChars="7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  方：西安市中心医院</w:t>
      </w:r>
    </w:p>
    <w:p w14:paraId="73B6D42B">
      <w:pPr>
        <w:tabs>
          <w:tab w:val="left" w:pos="480"/>
        </w:tabs>
        <w:ind w:firstLine="2240" w:firstLineChars="7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乙  方：                          </w:t>
      </w:r>
    </w:p>
    <w:p w14:paraId="47F66C3C">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w:t>
      </w:r>
    </w:p>
    <w:p w14:paraId="53A301F4">
      <w:pPr>
        <w:rPr>
          <w:rFonts w:hint="eastAsia" w:ascii="仿宋" w:hAnsi="仿宋" w:eastAsia="仿宋" w:cs="仿宋"/>
          <w:color w:val="auto"/>
          <w:sz w:val="32"/>
          <w:szCs w:val="32"/>
          <w:highlight w:val="none"/>
        </w:rPr>
      </w:pPr>
    </w:p>
    <w:p w14:paraId="2F8EC469">
      <w:pPr>
        <w:rPr>
          <w:rFonts w:hint="eastAsia" w:ascii="仿宋" w:hAnsi="仿宋" w:eastAsia="仿宋" w:cs="仿宋"/>
          <w:color w:val="auto"/>
          <w:sz w:val="32"/>
          <w:szCs w:val="32"/>
          <w:highlight w:val="none"/>
        </w:rPr>
      </w:pPr>
    </w:p>
    <w:p w14:paraId="1311B0A9">
      <w:pPr>
        <w:jc w:val="cente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二O二 五 年   月</w:t>
      </w:r>
    </w:p>
    <w:p w14:paraId="28B305EF">
      <w:pPr>
        <w:rPr>
          <w:rFonts w:hint="eastAsia" w:ascii="仿宋" w:hAnsi="仿宋" w:eastAsia="仿宋" w:cs="仿宋"/>
          <w:color w:val="auto"/>
          <w:sz w:val="22"/>
          <w:highlight w:val="none"/>
        </w:rPr>
      </w:pPr>
    </w:p>
    <w:p w14:paraId="76F760B0">
      <w:pPr>
        <w:pStyle w:val="5"/>
        <w:ind w:firstLine="440"/>
        <w:rPr>
          <w:rFonts w:hint="eastAsia" w:ascii="仿宋" w:hAnsi="仿宋" w:eastAsia="仿宋" w:cs="仿宋"/>
          <w:color w:val="auto"/>
          <w:sz w:val="22"/>
          <w:highlight w:val="none"/>
        </w:rPr>
      </w:pPr>
    </w:p>
    <w:p w14:paraId="0B4528FE">
      <w:pPr>
        <w:rPr>
          <w:rFonts w:hint="eastAsia" w:ascii="仿宋" w:hAnsi="仿宋" w:eastAsia="仿宋" w:cs="仿宋"/>
          <w:color w:val="auto"/>
          <w:highlight w:val="none"/>
        </w:rPr>
      </w:pPr>
    </w:p>
    <w:p w14:paraId="6A6A86C2">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甲方：西安市中心医院 </w:t>
      </w:r>
    </w:p>
    <w:p w14:paraId="13C0C24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乙方：</w:t>
      </w:r>
    </w:p>
    <w:p w14:paraId="64E9022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就甲方所需货物，按照政府采购程序组织招标，确定乙方为成交供应商。依据《中华人民共和国政府采购法》、《中华人民共和国招标投标法》、《中华人民共和国民法典》，经甲、乙双方协商、确认，达成如下条款。</w:t>
      </w:r>
    </w:p>
    <w:p w14:paraId="5A04FB32">
      <w:pPr>
        <w:tabs>
          <w:tab w:val="left" w:pos="480"/>
        </w:tabs>
        <w:spacing w:line="360" w:lineRule="auto"/>
        <w:rPr>
          <w:rFonts w:hint="eastAsia"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一、合同标的货物内容及数量</w:t>
      </w:r>
    </w:p>
    <w:tbl>
      <w:tblPr>
        <w:tblStyle w:val="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2"/>
        <w:gridCol w:w="1116"/>
        <w:gridCol w:w="1041"/>
        <w:gridCol w:w="1080"/>
        <w:gridCol w:w="944"/>
        <w:gridCol w:w="811"/>
        <w:gridCol w:w="1017"/>
        <w:gridCol w:w="966"/>
        <w:gridCol w:w="850"/>
      </w:tblGrid>
      <w:tr w14:paraId="21FF8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07" w:type="pct"/>
            <w:vAlign w:val="center"/>
          </w:tcPr>
          <w:p w14:paraId="0C258343">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655" w:type="pct"/>
            <w:vAlign w:val="center"/>
          </w:tcPr>
          <w:p w14:paraId="16294981">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货物名称</w:t>
            </w:r>
          </w:p>
        </w:tc>
        <w:tc>
          <w:tcPr>
            <w:tcW w:w="611" w:type="pct"/>
            <w:vAlign w:val="center"/>
          </w:tcPr>
          <w:p w14:paraId="48F59B20">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规格参数</w:t>
            </w:r>
          </w:p>
        </w:tc>
        <w:tc>
          <w:tcPr>
            <w:tcW w:w="634" w:type="pct"/>
            <w:vAlign w:val="center"/>
          </w:tcPr>
          <w:p w14:paraId="114CFC7C">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生产</w:t>
            </w:r>
          </w:p>
          <w:p w14:paraId="517EDD10">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厂家</w:t>
            </w:r>
          </w:p>
        </w:tc>
        <w:tc>
          <w:tcPr>
            <w:tcW w:w="554" w:type="pct"/>
            <w:vAlign w:val="center"/>
          </w:tcPr>
          <w:p w14:paraId="0AF39B9D">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计量</w:t>
            </w:r>
          </w:p>
          <w:p w14:paraId="3EA57F9F">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单位</w:t>
            </w:r>
          </w:p>
        </w:tc>
        <w:tc>
          <w:tcPr>
            <w:tcW w:w="476" w:type="pct"/>
            <w:vAlign w:val="center"/>
          </w:tcPr>
          <w:p w14:paraId="6E1DC955">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597" w:type="pct"/>
            <w:vAlign w:val="center"/>
          </w:tcPr>
          <w:p w14:paraId="07C1A22A">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单价</w:t>
            </w:r>
          </w:p>
          <w:p w14:paraId="2A76E878">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（万元）</w:t>
            </w:r>
          </w:p>
        </w:tc>
        <w:tc>
          <w:tcPr>
            <w:tcW w:w="567" w:type="pct"/>
            <w:vAlign w:val="center"/>
          </w:tcPr>
          <w:p w14:paraId="2EC11AD0">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金额</w:t>
            </w:r>
          </w:p>
          <w:p w14:paraId="412E6186">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（万元）</w:t>
            </w:r>
          </w:p>
        </w:tc>
        <w:tc>
          <w:tcPr>
            <w:tcW w:w="496" w:type="pct"/>
            <w:vAlign w:val="center"/>
          </w:tcPr>
          <w:p w14:paraId="2B6021DB">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备注</w:t>
            </w:r>
          </w:p>
        </w:tc>
      </w:tr>
      <w:tr w14:paraId="4E3B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7" w:type="pct"/>
            <w:vAlign w:val="center"/>
          </w:tcPr>
          <w:p w14:paraId="64378D67">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655" w:type="pct"/>
            <w:vAlign w:val="center"/>
          </w:tcPr>
          <w:p w14:paraId="4238930B">
            <w:pPr>
              <w:tabs>
                <w:tab w:val="left" w:pos="480"/>
              </w:tabs>
              <w:spacing w:line="360" w:lineRule="auto"/>
              <w:jc w:val="center"/>
              <w:rPr>
                <w:rFonts w:hint="eastAsia" w:ascii="仿宋" w:hAnsi="仿宋" w:eastAsia="仿宋" w:cs="仿宋"/>
                <w:color w:val="auto"/>
                <w:szCs w:val="21"/>
                <w:highlight w:val="none"/>
              </w:rPr>
            </w:pPr>
          </w:p>
        </w:tc>
        <w:tc>
          <w:tcPr>
            <w:tcW w:w="611" w:type="pct"/>
            <w:vAlign w:val="center"/>
          </w:tcPr>
          <w:p w14:paraId="0F6DD2AF">
            <w:pPr>
              <w:tabs>
                <w:tab w:val="left" w:pos="480"/>
              </w:tabs>
              <w:spacing w:line="360" w:lineRule="auto"/>
              <w:jc w:val="center"/>
              <w:rPr>
                <w:rFonts w:hint="eastAsia" w:ascii="仿宋" w:hAnsi="仿宋" w:eastAsia="仿宋" w:cs="仿宋"/>
                <w:color w:val="auto"/>
                <w:szCs w:val="21"/>
                <w:highlight w:val="none"/>
              </w:rPr>
            </w:pPr>
          </w:p>
        </w:tc>
        <w:tc>
          <w:tcPr>
            <w:tcW w:w="634" w:type="pct"/>
            <w:vAlign w:val="center"/>
          </w:tcPr>
          <w:p w14:paraId="03383435">
            <w:pPr>
              <w:tabs>
                <w:tab w:val="left" w:pos="480"/>
              </w:tabs>
              <w:spacing w:line="360" w:lineRule="auto"/>
              <w:jc w:val="center"/>
              <w:rPr>
                <w:rFonts w:hint="eastAsia" w:ascii="仿宋" w:hAnsi="仿宋" w:eastAsia="仿宋" w:cs="仿宋"/>
                <w:color w:val="auto"/>
                <w:szCs w:val="21"/>
                <w:highlight w:val="none"/>
              </w:rPr>
            </w:pPr>
          </w:p>
        </w:tc>
        <w:tc>
          <w:tcPr>
            <w:tcW w:w="554" w:type="pct"/>
            <w:vAlign w:val="center"/>
          </w:tcPr>
          <w:p w14:paraId="1E378450">
            <w:pPr>
              <w:tabs>
                <w:tab w:val="left" w:pos="480"/>
              </w:tabs>
              <w:spacing w:line="360" w:lineRule="auto"/>
              <w:jc w:val="center"/>
              <w:rPr>
                <w:rFonts w:hint="eastAsia" w:ascii="仿宋" w:hAnsi="仿宋" w:eastAsia="仿宋" w:cs="仿宋"/>
                <w:color w:val="auto"/>
                <w:szCs w:val="21"/>
                <w:highlight w:val="none"/>
              </w:rPr>
            </w:pPr>
          </w:p>
        </w:tc>
        <w:tc>
          <w:tcPr>
            <w:tcW w:w="476" w:type="pct"/>
            <w:vAlign w:val="center"/>
          </w:tcPr>
          <w:p w14:paraId="52DBA73D">
            <w:pPr>
              <w:tabs>
                <w:tab w:val="left" w:pos="480"/>
              </w:tabs>
              <w:spacing w:line="360" w:lineRule="auto"/>
              <w:jc w:val="center"/>
              <w:rPr>
                <w:rFonts w:hint="eastAsia" w:ascii="仿宋" w:hAnsi="仿宋" w:eastAsia="仿宋" w:cs="仿宋"/>
                <w:color w:val="auto"/>
                <w:szCs w:val="21"/>
                <w:highlight w:val="none"/>
              </w:rPr>
            </w:pPr>
          </w:p>
        </w:tc>
        <w:tc>
          <w:tcPr>
            <w:tcW w:w="597" w:type="pct"/>
            <w:vAlign w:val="center"/>
          </w:tcPr>
          <w:p w14:paraId="4FABA627">
            <w:pPr>
              <w:tabs>
                <w:tab w:val="left" w:pos="480"/>
              </w:tabs>
              <w:spacing w:line="360" w:lineRule="auto"/>
              <w:jc w:val="center"/>
              <w:rPr>
                <w:rFonts w:hint="eastAsia" w:ascii="仿宋" w:hAnsi="仿宋" w:eastAsia="仿宋" w:cs="仿宋"/>
                <w:color w:val="auto"/>
                <w:szCs w:val="21"/>
                <w:highlight w:val="none"/>
              </w:rPr>
            </w:pPr>
          </w:p>
        </w:tc>
        <w:tc>
          <w:tcPr>
            <w:tcW w:w="567" w:type="pct"/>
            <w:vAlign w:val="center"/>
          </w:tcPr>
          <w:p w14:paraId="0711FB97">
            <w:pPr>
              <w:tabs>
                <w:tab w:val="left" w:pos="480"/>
              </w:tabs>
              <w:spacing w:line="360" w:lineRule="auto"/>
              <w:jc w:val="center"/>
              <w:rPr>
                <w:rFonts w:hint="eastAsia" w:ascii="仿宋" w:hAnsi="仿宋" w:eastAsia="仿宋" w:cs="仿宋"/>
                <w:color w:val="auto"/>
                <w:szCs w:val="21"/>
                <w:highlight w:val="none"/>
              </w:rPr>
            </w:pPr>
          </w:p>
        </w:tc>
        <w:tc>
          <w:tcPr>
            <w:tcW w:w="496" w:type="pct"/>
          </w:tcPr>
          <w:p w14:paraId="57ED8607">
            <w:pPr>
              <w:tabs>
                <w:tab w:val="left" w:pos="480"/>
              </w:tabs>
              <w:spacing w:line="360" w:lineRule="auto"/>
              <w:jc w:val="center"/>
              <w:rPr>
                <w:rFonts w:hint="eastAsia" w:ascii="仿宋" w:hAnsi="仿宋" w:eastAsia="仿宋" w:cs="仿宋"/>
                <w:color w:val="auto"/>
                <w:szCs w:val="21"/>
                <w:highlight w:val="none"/>
              </w:rPr>
            </w:pPr>
          </w:p>
        </w:tc>
      </w:tr>
      <w:tr w14:paraId="0AD8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07" w:type="pct"/>
            <w:vAlign w:val="center"/>
          </w:tcPr>
          <w:p w14:paraId="60984FAD">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655" w:type="pct"/>
            <w:vAlign w:val="center"/>
          </w:tcPr>
          <w:p w14:paraId="4E357B8F">
            <w:pPr>
              <w:tabs>
                <w:tab w:val="left" w:pos="480"/>
              </w:tabs>
              <w:spacing w:line="360" w:lineRule="auto"/>
              <w:jc w:val="center"/>
              <w:rPr>
                <w:rFonts w:hint="eastAsia" w:ascii="仿宋" w:hAnsi="仿宋" w:eastAsia="仿宋" w:cs="仿宋"/>
                <w:color w:val="auto"/>
                <w:szCs w:val="21"/>
                <w:highlight w:val="none"/>
              </w:rPr>
            </w:pPr>
          </w:p>
        </w:tc>
        <w:tc>
          <w:tcPr>
            <w:tcW w:w="611" w:type="pct"/>
          </w:tcPr>
          <w:p w14:paraId="74D20360">
            <w:pPr>
              <w:tabs>
                <w:tab w:val="left" w:pos="480"/>
              </w:tabs>
              <w:spacing w:line="360" w:lineRule="auto"/>
              <w:jc w:val="center"/>
              <w:rPr>
                <w:rFonts w:hint="eastAsia" w:ascii="仿宋" w:hAnsi="仿宋" w:eastAsia="仿宋" w:cs="仿宋"/>
                <w:color w:val="auto"/>
                <w:szCs w:val="21"/>
                <w:highlight w:val="none"/>
              </w:rPr>
            </w:pPr>
          </w:p>
        </w:tc>
        <w:tc>
          <w:tcPr>
            <w:tcW w:w="634" w:type="pct"/>
          </w:tcPr>
          <w:p w14:paraId="37D85F54">
            <w:pPr>
              <w:tabs>
                <w:tab w:val="left" w:pos="480"/>
              </w:tabs>
              <w:spacing w:line="360" w:lineRule="auto"/>
              <w:jc w:val="center"/>
              <w:rPr>
                <w:rFonts w:hint="eastAsia" w:ascii="仿宋" w:hAnsi="仿宋" w:eastAsia="仿宋" w:cs="仿宋"/>
                <w:color w:val="auto"/>
                <w:szCs w:val="21"/>
                <w:highlight w:val="none"/>
              </w:rPr>
            </w:pPr>
          </w:p>
        </w:tc>
        <w:tc>
          <w:tcPr>
            <w:tcW w:w="554" w:type="pct"/>
            <w:vAlign w:val="center"/>
          </w:tcPr>
          <w:p w14:paraId="02CDF143">
            <w:pPr>
              <w:tabs>
                <w:tab w:val="left" w:pos="480"/>
              </w:tabs>
              <w:spacing w:line="360" w:lineRule="auto"/>
              <w:jc w:val="center"/>
              <w:rPr>
                <w:rFonts w:hint="eastAsia" w:ascii="仿宋" w:hAnsi="仿宋" w:eastAsia="仿宋" w:cs="仿宋"/>
                <w:color w:val="auto"/>
                <w:szCs w:val="21"/>
                <w:highlight w:val="none"/>
              </w:rPr>
            </w:pPr>
          </w:p>
        </w:tc>
        <w:tc>
          <w:tcPr>
            <w:tcW w:w="476" w:type="pct"/>
          </w:tcPr>
          <w:p w14:paraId="31AD3F5A">
            <w:pPr>
              <w:tabs>
                <w:tab w:val="left" w:pos="480"/>
              </w:tabs>
              <w:spacing w:line="360" w:lineRule="auto"/>
              <w:jc w:val="center"/>
              <w:rPr>
                <w:rFonts w:hint="eastAsia" w:ascii="仿宋" w:hAnsi="仿宋" w:eastAsia="仿宋" w:cs="仿宋"/>
                <w:color w:val="auto"/>
                <w:szCs w:val="21"/>
                <w:highlight w:val="none"/>
              </w:rPr>
            </w:pPr>
          </w:p>
        </w:tc>
        <w:tc>
          <w:tcPr>
            <w:tcW w:w="597" w:type="pct"/>
            <w:vAlign w:val="center"/>
          </w:tcPr>
          <w:p w14:paraId="5E643963">
            <w:pPr>
              <w:tabs>
                <w:tab w:val="left" w:pos="480"/>
              </w:tabs>
              <w:spacing w:line="360" w:lineRule="auto"/>
              <w:jc w:val="center"/>
              <w:rPr>
                <w:rFonts w:hint="eastAsia" w:ascii="仿宋" w:hAnsi="仿宋" w:eastAsia="仿宋" w:cs="仿宋"/>
                <w:color w:val="auto"/>
                <w:szCs w:val="21"/>
                <w:highlight w:val="none"/>
              </w:rPr>
            </w:pPr>
          </w:p>
        </w:tc>
        <w:tc>
          <w:tcPr>
            <w:tcW w:w="567" w:type="pct"/>
          </w:tcPr>
          <w:p w14:paraId="45FA65B4">
            <w:pPr>
              <w:tabs>
                <w:tab w:val="left" w:pos="480"/>
              </w:tabs>
              <w:spacing w:line="360" w:lineRule="auto"/>
              <w:jc w:val="center"/>
              <w:rPr>
                <w:rFonts w:hint="eastAsia" w:ascii="仿宋" w:hAnsi="仿宋" w:eastAsia="仿宋" w:cs="仿宋"/>
                <w:color w:val="auto"/>
                <w:szCs w:val="21"/>
                <w:highlight w:val="none"/>
              </w:rPr>
            </w:pPr>
          </w:p>
        </w:tc>
        <w:tc>
          <w:tcPr>
            <w:tcW w:w="496" w:type="pct"/>
          </w:tcPr>
          <w:p w14:paraId="321C82F5">
            <w:pPr>
              <w:tabs>
                <w:tab w:val="left" w:pos="480"/>
              </w:tabs>
              <w:spacing w:line="360" w:lineRule="auto"/>
              <w:jc w:val="center"/>
              <w:rPr>
                <w:rFonts w:hint="eastAsia" w:ascii="仿宋" w:hAnsi="仿宋" w:eastAsia="仿宋" w:cs="仿宋"/>
                <w:color w:val="auto"/>
                <w:szCs w:val="21"/>
                <w:highlight w:val="none"/>
              </w:rPr>
            </w:pPr>
          </w:p>
        </w:tc>
      </w:tr>
      <w:tr w14:paraId="3F01B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5000" w:type="pct"/>
            <w:gridSpan w:val="9"/>
            <w:vAlign w:val="center"/>
          </w:tcPr>
          <w:p w14:paraId="382FE60F">
            <w:pPr>
              <w:tabs>
                <w:tab w:val="left" w:pos="480"/>
              </w:tabs>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合计人民币（大写）：</w:t>
            </w:r>
          </w:p>
          <w:p w14:paraId="2099954F">
            <w:pPr>
              <w:tabs>
                <w:tab w:val="left" w:pos="480"/>
              </w:tabs>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合计：¥</w:t>
            </w:r>
          </w:p>
        </w:tc>
      </w:tr>
      <w:tr w14:paraId="578AB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07" w:type="pct"/>
            <w:vAlign w:val="center"/>
          </w:tcPr>
          <w:p w14:paraId="3F2D4237">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说明</w:t>
            </w:r>
          </w:p>
        </w:tc>
        <w:tc>
          <w:tcPr>
            <w:tcW w:w="4592" w:type="pct"/>
            <w:gridSpan w:val="8"/>
            <w:vAlign w:val="center"/>
          </w:tcPr>
          <w:p w14:paraId="46521F62">
            <w:pPr>
              <w:tabs>
                <w:tab w:val="left" w:pos="480"/>
              </w:tabs>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含安装、调试、检验、培训及技术服务等</w:t>
            </w:r>
          </w:p>
        </w:tc>
      </w:tr>
    </w:tbl>
    <w:p w14:paraId="00E372F9">
      <w:pPr>
        <w:tabs>
          <w:tab w:val="left" w:pos="480"/>
        </w:tabs>
        <w:spacing w:line="360" w:lineRule="auto"/>
        <w:rPr>
          <w:rFonts w:hint="eastAsia" w:ascii="仿宋" w:hAnsi="仿宋" w:eastAsia="仿宋" w:cs="仿宋"/>
          <w:b/>
          <w:bCs/>
          <w:color w:val="auto"/>
          <w:sz w:val="24"/>
          <w:highlight w:val="none"/>
          <w:lang w:val="zh-CN"/>
        </w:rPr>
      </w:pPr>
      <w:r>
        <w:rPr>
          <w:rFonts w:hint="eastAsia" w:ascii="仿宋" w:hAnsi="仿宋" w:eastAsia="仿宋" w:cs="仿宋"/>
          <w:b/>
          <w:bCs/>
          <w:color w:val="auto"/>
          <w:sz w:val="24"/>
          <w:highlight w:val="none"/>
          <w:lang w:val="zh-CN"/>
        </w:rPr>
        <w:t>二、合同价款</w:t>
      </w:r>
    </w:p>
    <w:p w14:paraId="30BE5967">
      <w:pPr>
        <w:tabs>
          <w:tab w:val="left" w:pos="480"/>
        </w:tabs>
        <w:spacing w:line="360" w:lineRule="auto"/>
        <w:ind w:left="-199" w:leftChars="-95" w:firstLine="199" w:firstLineChars="83"/>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（一）合同总价款为人民币（大写）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元）。</w:t>
      </w:r>
    </w:p>
    <w:p w14:paraId="11789EF0">
      <w:pPr>
        <w:widowControl/>
        <w:spacing w:line="360" w:lineRule="auto"/>
        <w:ind w:firstLine="480" w:firstLineChars="200"/>
        <w:jc w:val="left"/>
        <w:textAlignment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（二）合同总价包括：税费、货物费、运输费（含保险费）、装卸、安装调试费、检测验收、培训、技术服务及其它乙方履行合同义务所需的全部费用。甲方无需向乙方另行支付费用。</w:t>
      </w:r>
      <w:r>
        <w:rPr>
          <w:rFonts w:hint="eastAsia" w:ascii="仿宋" w:hAnsi="仿宋" w:eastAsia="仿宋" w:cs="仿宋"/>
          <w:color w:val="auto"/>
          <w:kern w:val="0"/>
          <w:sz w:val="24"/>
          <w:highlight w:val="none"/>
          <w:lang w:bidi="ar"/>
        </w:rPr>
        <w:t>本项目涉及的所有施工工作及所需辅助材料，其费用均已包含在本项目内。中标方应按照项目要求，精心组织施工，确保施工质量，不得因施工及辅材费用问题影响项目进度与质量。</w:t>
      </w:r>
    </w:p>
    <w:p w14:paraId="5B7605FC">
      <w:pPr>
        <w:tabs>
          <w:tab w:val="left" w:pos="480"/>
        </w:tabs>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三、款项结算</w:t>
      </w:r>
    </w:p>
    <w:p w14:paraId="59D07DDB">
      <w:pPr>
        <w:spacing w:line="360" w:lineRule="auto"/>
        <w:ind w:firstLine="480" w:firstLineChars="200"/>
        <w:rPr>
          <w:rFonts w:hint="eastAsia" w:ascii="仿宋" w:hAnsi="仿宋" w:eastAsia="仿宋" w:cs="仿宋"/>
          <w:color w:val="auto"/>
          <w:sz w:val="24"/>
          <w:highlight w:val="none"/>
        </w:rPr>
      </w:pPr>
      <w:bookmarkStart w:id="0" w:name="OLE_LINK3"/>
      <w:r>
        <w:rPr>
          <w:rFonts w:hint="eastAsia" w:ascii="仿宋" w:hAnsi="仿宋" w:eastAsia="仿宋" w:cs="仿宋"/>
          <w:color w:val="auto"/>
          <w:sz w:val="24"/>
          <w:highlight w:val="none"/>
        </w:rPr>
        <w:t>（一）货物到达甲方指定地点，运输、安装、调试、第一次验收合格后（第一次验收要求乙方按合同约定提供货物，安装调试完成，确保设备能够正常运行），支付合同总价款的 95 %。即人民币（大写）            （¥           ）。</w:t>
      </w:r>
    </w:p>
    <w:p w14:paraId="2E7932E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（二）从第一次验收合格之日起满壹年后，如无质量、服务等问题，进行第二次验收，二次验收合格收到乙方发票后支付合同总价款的3%。即人民币（大写）      （¥          ）。</w:t>
      </w:r>
    </w:p>
    <w:p w14:paraId="7AA24A1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（三）第一次验收合格之日起满叁年后，如无质量、服务等问题进行第三次验收，三次验收合格收到乙方发票后，一次性无息支付合同总价款的2％。即人民币（大写）            （¥           ）。</w:t>
      </w:r>
    </w:p>
    <w:bookmarkEnd w:id="0"/>
    <w:p w14:paraId="3F01387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（四）支付方式：银行转帐。乙方保证其提供的账号准确无误，若在合同履行期间发生变更，乙方需及时书面通知甲方，否则由此产生的后果由乙方承担。</w:t>
      </w:r>
    </w:p>
    <w:p w14:paraId="2CDFD41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（五）结算方式：乙方持验收合格单，全额合规发票（按合同总价值开甲方），中标通知书、供货合同，与甲方结算。</w:t>
      </w:r>
    </w:p>
    <w:p w14:paraId="21D96728">
      <w:pPr>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四、交货条件</w:t>
      </w:r>
    </w:p>
    <w:p w14:paraId="2C571E5B">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（一）交货地点：西安市中心医院指定地点。</w:t>
      </w:r>
    </w:p>
    <w:p w14:paraId="25346513">
      <w:pPr>
        <w:widowControl/>
        <w:spacing w:line="360" w:lineRule="auto"/>
        <w:ind w:firstLine="480" w:firstLineChars="200"/>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sz w:val="24"/>
          <w:highlight w:val="none"/>
        </w:rPr>
        <w:t xml:space="preserve">（二）交货期：  </w:t>
      </w:r>
    </w:p>
    <w:p w14:paraId="66163F79">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合同签订后【3】日内，乙方必须派遣场地工程师到达安装现场勘察，协助甲方基建规划完成场地建设，按照供货期要求组织货物到达、安装事宜，乙方未派遣场地工程师完成前述事宜影响设备正常安装的，乙方应按第十一条第（三）款之约定承担违约责任。安装调试过程中出现的安全责任问题由乙方承担全部责任。</w:t>
      </w:r>
    </w:p>
    <w:p w14:paraId="7E8E0049">
      <w:pPr>
        <w:tabs>
          <w:tab w:val="left" w:pos="480"/>
        </w:tabs>
        <w:spacing w:line="36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三）交付条件：货物产地、规格、型号和数量必须完全与合同、招标文件、投标文件要求一致，任意一项不符的，甲方均有权拒收货物，由此导致供货逾期的，乙方自行承担相应的违约责任。货物安装、调试并正常运行后，由乙方进行自检，合格后提供自检报告、市级法定机构出具的计量检定/校准证书方可达到交付条件。</w:t>
      </w:r>
    </w:p>
    <w:p w14:paraId="28ADEFF9">
      <w:pPr>
        <w:tabs>
          <w:tab w:val="left" w:pos="480"/>
        </w:tabs>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五、运输</w:t>
      </w:r>
    </w:p>
    <w:p w14:paraId="33DBFC40">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（一）运输由乙方负责，运杂费已包含在合同总价内，包括从货物供应地点至交货地点所含的运输费、装卸费、仓储费、保险费等。</w:t>
      </w:r>
    </w:p>
    <w:p w14:paraId="1968E018">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（二）运输方式由乙方自行选择，但必须保证按期交货。</w:t>
      </w:r>
    </w:p>
    <w:p w14:paraId="6769BF13">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（三）货物验收合格前产生的一切</w:t>
      </w:r>
      <w:r>
        <w:rPr>
          <w:rFonts w:hint="eastAsia" w:ascii="仿宋" w:hAnsi="仿宋" w:eastAsia="仿宋" w:cs="仿宋"/>
          <w:color w:val="auto"/>
          <w:sz w:val="24"/>
          <w:highlight w:val="none"/>
          <w:lang w:eastAsia="zh-Hans"/>
        </w:rPr>
        <w:t>毁损、灭失的</w:t>
      </w:r>
      <w:r>
        <w:rPr>
          <w:rFonts w:hint="eastAsia" w:ascii="仿宋" w:hAnsi="仿宋" w:eastAsia="仿宋" w:cs="仿宋"/>
          <w:color w:val="auto"/>
          <w:sz w:val="24"/>
          <w:highlight w:val="none"/>
        </w:rPr>
        <w:t>风险及质量问题均由乙方承担。</w:t>
      </w:r>
    </w:p>
    <w:p w14:paraId="5ED42B3F">
      <w:pPr>
        <w:tabs>
          <w:tab w:val="left" w:pos="480"/>
        </w:tabs>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六、质量保证</w:t>
      </w:r>
    </w:p>
    <w:p w14:paraId="0C8BE695">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乙方所供货物必须执行下列条款：</w:t>
      </w:r>
    </w:p>
    <w:p w14:paraId="6E199BAC">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（一）保证技术指标先进、质量性能可靠、进货渠道正常，配置合理，全面满足招标文件要求。</w:t>
      </w:r>
    </w:p>
    <w:p w14:paraId="67760281">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（二）符合国家有关规范要求，确保达到最佳运行状态，对于由于产品设计、工艺或材料的缺陷而产生的质量问题负责。</w:t>
      </w:r>
    </w:p>
    <w:p w14:paraId="354AF3CB">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（三）具有良好的外观，适合安装场所的使用。</w:t>
      </w:r>
    </w:p>
    <w:p w14:paraId="17777FED">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（四）自安装、调试正常运行并验收合格之日起：</w:t>
      </w:r>
    </w:p>
    <w:p w14:paraId="5E735E05">
      <w:pPr>
        <w:tabs>
          <w:tab w:val="left" w:pos="480"/>
        </w:tabs>
        <w:spacing w:line="36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1、质保期：提供原厂整机免费质保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终身维护。质保期内，同一主要部件出现质量问题经过两次维修后仍无法正常使用的，可以更换同型号、同规格的全新产品；发生质量问题或设备无论何种原因出现故障或损坏（包括但不限于操作失误、人为损坏、意外损坏等一切情形），乙方在2小时内提出解决问题的办法，如需到现场进行维修，乙方在8小时内安排生产厂家技术人员到设备现场进行维修；乙方提供保修期内每年不少于四次巡检维护保养；乙方保证年开机率≥95％（一年按365天计算）；如有问题在48小时内修复（每超一天保修延长5天），对问题较大72小时内暂不能解决的，为不影响甲方正常工作，乙方在5日内免费提供替代产品，并确保正常运行；若乙方未按照上述约定期限内及时解决问题,造成甲方损失扩大的,乙方应就损失扩大部分承担赔偿责任。</w:t>
      </w:r>
      <w:r>
        <w:rPr>
          <w:rFonts w:hint="eastAsia" w:ascii="仿宋" w:hAnsi="仿宋" w:eastAsia="仿宋" w:cs="仿宋"/>
          <w:color w:val="auto"/>
          <w:kern w:val="0"/>
          <w:sz w:val="24"/>
          <w:highlight w:val="none"/>
          <w:lang w:bidi="ar"/>
        </w:rPr>
        <w:t>本项目所含软件、策略等升级服务均属质保期范围内的服务内容。</w:t>
      </w:r>
    </w:p>
    <w:p w14:paraId="0AEAC521">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2、30天内，如出现质量问题，甲方可以选择换货或退货 </w:t>
      </w:r>
    </w:p>
    <w:p w14:paraId="6B993843">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3、7天内，如出现质量问题，甲方可选择换货。</w:t>
      </w:r>
    </w:p>
    <w:p w14:paraId="701041CC">
      <w:pPr>
        <w:numPr>
          <w:ilvl w:val="0"/>
          <w:numId w:val="1"/>
        </w:num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保证设备与甲方相关信息化网络系统免费对接或链接，乙方在设备安装调试完成后协助甲方完成设备之间信息化系统的连接和建立，承诺在甲方使用产品期间免费对该产品进行系统升级和维护。</w:t>
      </w:r>
    </w:p>
    <w:p w14:paraId="3AB918D5">
      <w:pPr>
        <w:tabs>
          <w:tab w:val="left" w:pos="480"/>
        </w:tabs>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七、双方的权利和义务</w:t>
      </w:r>
    </w:p>
    <w:p w14:paraId="69FA889B">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（一）甲方的权利和义务</w:t>
      </w:r>
    </w:p>
    <w:p w14:paraId="4B578B5C">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（甲、乙双方约定）甲方提供场地配合乙方安装调试，按招标文件来规范乙方。</w:t>
      </w:r>
    </w:p>
    <w:p w14:paraId="788A1538">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（二）乙方的权利和义务</w:t>
      </w:r>
    </w:p>
    <w:p w14:paraId="645D0C83">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（甲、乙双方约定）乙方按照合同约定保证提供全新原厂设备，按时到货安装，并承担招标文件所规定的义务。</w:t>
      </w:r>
    </w:p>
    <w:p w14:paraId="60B5F181">
      <w:pPr>
        <w:tabs>
          <w:tab w:val="left" w:pos="480"/>
        </w:tabs>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八、售后服务</w:t>
      </w:r>
    </w:p>
    <w:p w14:paraId="3EFEBBA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乙方为所供货物提供以下售后服务：</w:t>
      </w:r>
    </w:p>
    <w:p w14:paraId="4D70DA3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（一）质保期内：</w:t>
      </w:r>
    </w:p>
    <w:p w14:paraId="7D6F674F">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发生质量问题或设备无论何种原因出现故障或损坏（包括但不限于操作失误、人为损坏、意外损坏等一切情形），接到甲方通知后，应于当日派出专业的维修人员到现场进行检测维修，发生的全部费用由乙方承担，若需送回生产厂，乙方承担往返费用；</w:t>
      </w:r>
    </w:p>
    <w:p w14:paraId="35DB35EA">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2、每年四次派技术人员到现场巡检，给予检查维护；</w:t>
      </w:r>
    </w:p>
    <w:p w14:paraId="35B0215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3、排除故障的期限不超过48小时。否则甲方有权指定第三方维修，维修费用由乙方承担，甲方有权直接从未付合同款中扣除，未付合同款无法支付全部维修费用的，超出部分由乙方另行承担。</w:t>
      </w:r>
    </w:p>
    <w:p w14:paraId="40FC879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4、质保期内，设备所有易损件因任何原因出现损坏或无法正常使用的，乙方均须免费更换，更换产生的人工费、材料费、运输费等全部费用由乙方承担，甲方无需支付任何费用；</w:t>
      </w:r>
    </w:p>
    <w:p w14:paraId="32EB4690">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（二）质保期结束前，进行系统测试，全面保养维护，确保正常运行。</w:t>
      </w:r>
    </w:p>
    <w:p w14:paraId="06FEC274">
      <w:pPr>
        <w:tabs>
          <w:tab w:val="left" w:pos="480"/>
        </w:tabs>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九、技术与服务</w:t>
      </w:r>
    </w:p>
    <w:p w14:paraId="7676A232">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（一）技术资料：</w:t>
      </w:r>
    </w:p>
    <w:p w14:paraId="403951FF">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1、货物合格证；</w:t>
      </w:r>
    </w:p>
    <w:p w14:paraId="720B8AF6">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2、货物使用说明书（中文）；</w:t>
      </w:r>
    </w:p>
    <w:p w14:paraId="3FDEEBB7">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3、乙方提供相关部门出具的检验测试报告；</w:t>
      </w:r>
    </w:p>
    <w:p w14:paraId="66059821">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4、其它资料。</w:t>
      </w:r>
    </w:p>
    <w:p w14:paraId="7FAA2338">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乙方应在供货时一并提供前述技术资料，否则均视为交付不合格，甲方有权拒绝验收，由此造成的一切后果由乙方承担。</w:t>
      </w:r>
    </w:p>
    <w:p w14:paraId="3D161780">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（二）培训：乙方须在设备安装调试完成后对甲方使用人员进行完整操作使用、保养等培训，确保受训人员可熟练、独立使用设备，是否完成培训视为货物验收必备条件之一；</w:t>
      </w:r>
    </w:p>
    <w:p w14:paraId="13906298">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（三）服务承诺：以投标文件、澄清表（函）、合同和随货物的相关文件为准。</w:t>
      </w:r>
    </w:p>
    <w:p w14:paraId="25231393">
      <w:pPr>
        <w:tabs>
          <w:tab w:val="left" w:pos="480"/>
        </w:tabs>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十、验收</w:t>
      </w:r>
    </w:p>
    <w:p w14:paraId="4DB2A446">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（一）货物到达甲方指定地点后，甲方进行签收（外观验收，确认产地、规格、型号和数量等），甲乙双方需在约定的时间和地点共同开箱检验。</w:t>
      </w:r>
    </w:p>
    <w:p w14:paraId="59550245">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（二）货物安装、调试并正常运行后，由乙方进行自检，合格后能够正常使用时书面通知甲方。</w:t>
      </w:r>
    </w:p>
    <w:p w14:paraId="2D450009">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（三）甲方确认接收乙方的自检内容后，甲方组织进行初验，初验合格后，由乙方对甲方使用人员进行操作培训。</w:t>
      </w:r>
    </w:p>
    <w:p w14:paraId="4B1F337C">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（四）乙方按甲方要求的文档规范提交货物实施过程中的所有资料。以便甲方日后管理和维护。</w:t>
      </w:r>
    </w:p>
    <w:p w14:paraId="0706EA33">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（五）设备试运行3个月后且无重大故障，甲方组织专家进行终验。（必要时请有关专家，由乙方承担聘请专家的费用）。</w:t>
      </w:r>
    </w:p>
    <w:p w14:paraId="2F536B50">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（六）验收依据：</w:t>
      </w:r>
    </w:p>
    <w:p w14:paraId="2E48AC2A">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1、本合同及合同附件。</w:t>
      </w:r>
    </w:p>
    <w:p w14:paraId="35018167">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2、国家相应的标准、规范。</w:t>
      </w:r>
    </w:p>
    <w:p w14:paraId="15CE2476">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3、招标文件、投标文件、中标通知书、澄清表（函）。</w:t>
      </w:r>
    </w:p>
    <w:p w14:paraId="205986C1">
      <w:pPr>
        <w:tabs>
          <w:tab w:val="left" w:pos="480"/>
        </w:tabs>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十一、违约责任</w:t>
      </w:r>
    </w:p>
    <w:p w14:paraId="25936352">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（一）按《政府采购法》、《民法典》中的相关条款执行。</w:t>
      </w:r>
    </w:p>
    <w:p w14:paraId="22560606">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（二）乙方未按合同要求提供货物或质量不能满足本合同、招标文件、投标文件等相关文件要求时，</w:t>
      </w:r>
      <w:r>
        <w:rPr>
          <w:rFonts w:hint="eastAsia" w:ascii="仿宋" w:hAnsi="仿宋" w:eastAsia="仿宋" w:cs="仿宋"/>
          <w:color w:val="auto"/>
          <w:sz w:val="24"/>
          <w:highlight w:val="none"/>
          <w:lang w:eastAsia="zh-Hans"/>
        </w:rPr>
        <w:t>甲方验收不合格的或出现质量问题，</w:t>
      </w:r>
      <w:r>
        <w:rPr>
          <w:rFonts w:hint="eastAsia" w:ascii="仿宋" w:hAnsi="仿宋" w:eastAsia="仿宋" w:cs="仿宋"/>
          <w:color w:val="auto"/>
          <w:sz w:val="24"/>
          <w:highlight w:val="none"/>
        </w:rPr>
        <w:t>在约定的条件下，乙方必须无条件按照甲方要求的时限进行更换，提高技术，完善质量，否则，甲方有权解除合同，解除合同书面通知书到达乙方之日视为合同已解除，并按以下两种方式追究乙方的违约责任：</w:t>
      </w:r>
    </w:p>
    <w:p w14:paraId="5931E7B9">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1、乙方赔偿甲方解除合同的全部损失（包括但不限于重新采购产生的费用、合同未履行导致设备不能按规划交付使用可能产生的租赁费用及其它由此造成的甲方对第三方的违约损失）；</w:t>
      </w:r>
    </w:p>
    <w:p w14:paraId="6A939259">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2、乙方支付甲方违约金，违约金计算方法：以合同总价为基数，支付甲方合同总价的30%为违约金</w:t>
      </w:r>
      <w:r>
        <w:rPr>
          <w:rFonts w:hint="eastAsia" w:ascii="仿宋" w:hAnsi="仿宋" w:eastAsia="仿宋" w:cs="仿宋"/>
          <w:color w:val="auto"/>
          <w:sz w:val="24"/>
          <w:highlight w:val="none"/>
          <w:lang w:eastAsia="zh-Hans"/>
        </w:rPr>
        <w:t>，</w:t>
      </w:r>
      <w:r>
        <w:rPr>
          <w:rFonts w:hint="eastAsia" w:ascii="仿宋" w:hAnsi="仿宋" w:eastAsia="仿宋" w:cs="仿宋"/>
          <w:color w:val="auto"/>
          <w:sz w:val="24"/>
          <w:highlight w:val="none"/>
        </w:rPr>
        <w:t>违约金不足以赔偿甲方损失的，由乙方另行承担。</w:t>
      </w:r>
    </w:p>
    <w:p w14:paraId="3A6260FC">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同时，甲方有权对乙方的违约行为报监管机构进行相应的处罚。</w:t>
      </w:r>
    </w:p>
    <w:p w14:paraId="6B2F78AA">
      <w:pPr>
        <w:tabs>
          <w:tab w:val="left" w:pos="0"/>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（三）乙方逾期交付全部货物的，交货期每超过一天，乙方应按照合同总价款的【1】%向甲方支付违约金；迟延交货超过【7】天的，视为乙方根本违约，甲方有权依据本条第（二）款之约定单方解除本合同</w:t>
      </w:r>
      <w:r>
        <w:rPr>
          <w:rFonts w:hint="eastAsia" w:ascii="仿宋" w:hAnsi="仿宋" w:eastAsia="仿宋" w:cs="仿宋"/>
          <w:color w:val="auto"/>
          <w:sz w:val="24"/>
          <w:highlight w:val="none"/>
          <w:lang w:eastAsia="zh-Hans"/>
        </w:rPr>
        <w:t>。</w:t>
      </w:r>
    </w:p>
    <w:p w14:paraId="1734F8C9">
      <w:pPr>
        <w:tabs>
          <w:tab w:val="left" w:pos="0"/>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（四）乙方违约时，甲方为主张权利而支出的律师费、保全费、保全保险费、差旅费等费用由乙方承担。</w:t>
      </w:r>
    </w:p>
    <w:p w14:paraId="66390791">
      <w:pPr>
        <w:tabs>
          <w:tab w:val="left" w:pos="0"/>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Hans"/>
        </w:rPr>
        <w:t>（五）</w:t>
      </w:r>
      <w:r>
        <w:rPr>
          <w:rFonts w:hint="eastAsia" w:ascii="仿宋" w:hAnsi="仿宋" w:eastAsia="仿宋" w:cs="仿宋"/>
          <w:color w:val="auto"/>
          <w:sz w:val="24"/>
          <w:highlight w:val="none"/>
        </w:rPr>
        <w:t>因乙方产品内在质量问题，引发甲方生产或质量事故，造成甲方及第三人人身损失、财产损失的，乙方应赔偿甲方为此支付的所有费用（包括但不限于赔偿的费用、必要的律师费、罚款等），此责任不因甲方已进行质量监测而免除。</w:t>
      </w:r>
    </w:p>
    <w:p w14:paraId="34E429A2">
      <w:pPr>
        <w:tabs>
          <w:tab w:val="left" w:pos="480"/>
        </w:tabs>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十二、合同争议解决的方式</w:t>
      </w:r>
    </w:p>
    <w:p w14:paraId="301DEB2B">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本合同在履行过程中发生的争议，由甲、乙双方当事人协商解决，协商不成的依法向甲方所在地人民法院起诉。</w:t>
      </w:r>
    </w:p>
    <w:p w14:paraId="06D396C2">
      <w:pPr>
        <w:tabs>
          <w:tab w:val="left" w:pos="480"/>
        </w:tabs>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十三、合同生效</w:t>
      </w:r>
    </w:p>
    <w:p w14:paraId="7E4B448C">
      <w:pPr>
        <w:tabs>
          <w:tab w:val="left" w:pos="480"/>
        </w:tabs>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本合同一式</w:t>
      </w:r>
      <w:r>
        <w:rPr>
          <w:rFonts w:hint="eastAsia" w:ascii="仿宋" w:hAnsi="仿宋" w:eastAsia="仿宋" w:cs="仿宋"/>
          <w:color w:val="auto"/>
          <w:sz w:val="24"/>
          <w:highlight w:val="none"/>
          <w:u w:val="single"/>
        </w:rPr>
        <w:t>拾</w:t>
      </w:r>
      <w:r>
        <w:rPr>
          <w:rFonts w:hint="eastAsia" w:ascii="仿宋" w:hAnsi="仿宋" w:eastAsia="仿宋" w:cs="仿宋"/>
          <w:color w:val="auto"/>
          <w:sz w:val="24"/>
          <w:highlight w:val="none"/>
        </w:rPr>
        <w:t>份，甲方</w:t>
      </w:r>
      <w:r>
        <w:rPr>
          <w:rFonts w:hint="eastAsia" w:ascii="仿宋" w:hAnsi="仿宋" w:eastAsia="仿宋" w:cs="仿宋"/>
          <w:color w:val="auto"/>
          <w:sz w:val="24"/>
          <w:highlight w:val="none"/>
          <w:u w:val="single"/>
        </w:rPr>
        <w:t>玖</w:t>
      </w:r>
      <w:r>
        <w:rPr>
          <w:rFonts w:hint="eastAsia" w:ascii="仿宋" w:hAnsi="仿宋" w:eastAsia="仿宋" w:cs="仿宋"/>
          <w:color w:val="auto"/>
          <w:sz w:val="24"/>
          <w:highlight w:val="none"/>
        </w:rPr>
        <w:t>份，乙方</w:t>
      </w:r>
      <w:r>
        <w:rPr>
          <w:rFonts w:hint="eastAsia" w:ascii="仿宋" w:hAnsi="仿宋" w:eastAsia="仿宋" w:cs="仿宋"/>
          <w:color w:val="auto"/>
          <w:sz w:val="24"/>
          <w:highlight w:val="none"/>
          <w:u w:val="single"/>
        </w:rPr>
        <w:t>壹</w:t>
      </w:r>
      <w:r>
        <w:rPr>
          <w:rFonts w:hint="eastAsia" w:ascii="仿宋" w:hAnsi="仿宋" w:eastAsia="仿宋" w:cs="仿宋"/>
          <w:color w:val="auto"/>
          <w:sz w:val="24"/>
          <w:highlight w:val="none"/>
        </w:rPr>
        <w:t>份，本合同经甲方、乙方两方签字盖章后生效，质保期结束后，自动终止（合同的服务承诺除外）。</w:t>
      </w:r>
    </w:p>
    <w:p w14:paraId="2891B848">
      <w:pPr>
        <w:tabs>
          <w:tab w:val="left" w:pos="480"/>
        </w:tabs>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十四、其他事项</w:t>
      </w:r>
    </w:p>
    <w:p w14:paraId="79575AB9">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（一）西安市财政局政府采购管理处在合同的履行期间以及履行期后，可以随时检查项目的执行情况，对采购内容、标准进行调查核实，并对发现的问题进行处理。</w:t>
      </w:r>
    </w:p>
    <w:p w14:paraId="274070BB">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（二）招标文件、投标文件、澄清表（函）、中标通知书、合同附件均成为合同不可分割的部分。</w:t>
      </w:r>
    </w:p>
    <w:p w14:paraId="6E3183C8">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（三）合同未尽事宜，由甲、乙双方协商，签订补充协议，与原合同具有同等法律效力。</w:t>
      </w:r>
    </w:p>
    <w:p w14:paraId="7C99854A">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（四）合同一经签订，不得擅自变更、中止或终止合同。对确需变更、调整或中止、终止合同的，有法律规定的按照法律规定，除合同约定外，由甲乙双方再行协商，协商一致前，原合同或条款继续履行。</w:t>
      </w:r>
    </w:p>
    <w:p w14:paraId="289B6EFB">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（五）本合同按照中华人民共和国的现行法律进行解释。</w:t>
      </w:r>
    </w:p>
    <w:p w14:paraId="6DFD59D7">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（六）本合同附件作为本合同的组成部份，与本合同具有同等法律效力。</w:t>
      </w:r>
    </w:p>
    <w:p w14:paraId="2B6C71F6">
      <w:pPr>
        <w:tabs>
          <w:tab w:val="left" w:pos="4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（七）供应商规模：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（大型企业/中型企业/小微型企业）</w:t>
      </w:r>
    </w:p>
    <w:p w14:paraId="7A5CB0B9">
      <w:pPr>
        <w:tabs>
          <w:tab w:val="left" w:pos="480"/>
        </w:tabs>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（八） 甲方联系人：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xml:space="preserve">           </w:t>
      </w:r>
    </w:p>
    <w:p w14:paraId="50F4988D">
      <w:pPr>
        <w:tabs>
          <w:tab w:val="left" w:pos="480"/>
        </w:tabs>
        <w:spacing w:line="360" w:lineRule="auto"/>
        <w:ind w:firstLine="720" w:firstLineChars="3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乙方联系人：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；联系电话：</w:t>
      </w:r>
      <w:r>
        <w:rPr>
          <w:rFonts w:hint="eastAsia" w:ascii="仿宋" w:hAnsi="仿宋" w:eastAsia="仿宋" w:cs="仿宋"/>
          <w:color w:val="auto"/>
          <w:sz w:val="24"/>
          <w:highlight w:val="none"/>
          <w:u w:val="single"/>
        </w:rPr>
        <w:t xml:space="preserve">                      </w:t>
      </w:r>
    </w:p>
    <w:p w14:paraId="528D3010">
      <w:pPr>
        <w:tabs>
          <w:tab w:val="left" w:pos="480"/>
        </w:tabs>
        <w:rPr>
          <w:rFonts w:hint="eastAsia" w:ascii="仿宋" w:hAnsi="仿宋" w:eastAsia="仿宋" w:cs="仿宋"/>
          <w:color w:val="auto"/>
          <w:sz w:val="24"/>
          <w:highlight w:val="none"/>
        </w:rPr>
      </w:pPr>
    </w:p>
    <w:p w14:paraId="0D79C3A9">
      <w:pPr>
        <w:tabs>
          <w:tab w:val="left" w:pos="480"/>
        </w:tabs>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w:t>（以下无正文）</w:t>
      </w:r>
    </w:p>
    <w:p w14:paraId="1353E8D0">
      <w:pPr>
        <w:tabs>
          <w:tab w:val="left" w:pos="480"/>
        </w:tabs>
        <w:rPr>
          <w:rFonts w:hint="eastAsia" w:ascii="仿宋" w:hAnsi="仿宋" w:eastAsia="仿宋" w:cs="仿宋"/>
          <w:color w:val="auto"/>
          <w:sz w:val="24"/>
          <w:highlight w:val="none"/>
        </w:rPr>
      </w:pPr>
    </w:p>
    <w:p w14:paraId="151732CE">
      <w:pPr>
        <w:widowControl/>
        <w:spacing w:line="48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3604C800">
      <w:pPr>
        <w:widowControl/>
        <w:spacing w:line="480" w:lineRule="auto"/>
        <w:jc w:val="left"/>
        <w:rPr>
          <w:rFonts w:hint="eastAsia" w:ascii="仿宋" w:hAnsi="仿宋" w:eastAsia="仿宋" w:cs="仿宋"/>
          <w:color w:val="auto"/>
          <w:sz w:val="24"/>
          <w:highlight w:val="none"/>
        </w:rPr>
      </w:pPr>
    </w:p>
    <w:p w14:paraId="7079868F">
      <w:pPr>
        <w:widowControl/>
        <w:spacing w:line="480" w:lineRule="auto"/>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甲方（公章）                        乙方（公章）</w:t>
      </w:r>
    </w:p>
    <w:p w14:paraId="012BFEA2">
      <w:pPr>
        <w:tabs>
          <w:tab w:val="left" w:pos="480"/>
        </w:tabs>
        <w:spacing w:line="480" w:lineRule="auto"/>
        <w:ind w:left="6240" w:hanging="6240" w:hangingChars="2600"/>
        <w:rPr>
          <w:rFonts w:hint="eastAsia" w:ascii="仿宋" w:hAnsi="仿宋" w:eastAsia="仿宋" w:cs="仿宋"/>
          <w:color w:val="auto"/>
          <w:sz w:val="24"/>
          <w:highlight w:val="none"/>
        </w:rPr>
      </w:pPr>
    </w:p>
    <w:p w14:paraId="0FD448DF">
      <w:pPr>
        <w:tabs>
          <w:tab w:val="left" w:pos="480"/>
        </w:tabs>
        <w:spacing w:line="480" w:lineRule="auto"/>
        <w:ind w:left="6240" w:hanging="6240" w:hangingChars="2600"/>
        <w:rPr>
          <w:rFonts w:hint="eastAsia" w:ascii="仿宋" w:hAnsi="仿宋" w:eastAsia="仿宋" w:cs="仿宋"/>
          <w:color w:val="auto"/>
          <w:sz w:val="24"/>
          <w:highlight w:val="none"/>
        </w:rPr>
      </w:pPr>
      <w:r>
        <w:rPr>
          <w:rFonts w:hint="eastAsia" w:ascii="仿宋" w:hAnsi="仿宋" w:eastAsia="仿宋" w:cs="仿宋"/>
          <w:color w:val="auto"/>
          <w:sz w:val="24"/>
          <w:highlight w:val="none"/>
        </w:rPr>
        <w:t>单位名称：西安市中心医院                单位名称:</w:t>
      </w:r>
    </w:p>
    <w:p w14:paraId="5DFC5972">
      <w:pPr>
        <w:spacing w:line="480" w:lineRule="auto"/>
        <w:ind w:left="6000" w:hanging="6000" w:hangingChars="2500"/>
        <w:rPr>
          <w:rFonts w:hint="eastAsia" w:ascii="仿宋" w:hAnsi="仿宋" w:eastAsia="仿宋" w:cs="仿宋"/>
          <w:color w:val="auto"/>
          <w:sz w:val="24"/>
          <w:highlight w:val="none"/>
        </w:rPr>
      </w:pPr>
    </w:p>
    <w:p w14:paraId="350045DD">
      <w:pPr>
        <w:spacing w:line="480" w:lineRule="auto"/>
        <w:ind w:left="6000" w:hanging="6000" w:hangingChars="250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地址：西安市西五路161号                地址：</w:t>
      </w:r>
      <w:r>
        <w:rPr>
          <w:rFonts w:hint="eastAsia" w:ascii="仿宋" w:hAnsi="仿宋" w:eastAsia="仿宋" w:cs="仿宋"/>
          <w:bCs/>
          <w:color w:val="auto"/>
          <w:sz w:val="24"/>
          <w:highlight w:val="none"/>
        </w:rPr>
        <w:t xml:space="preserve"> </w:t>
      </w:r>
    </w:p>
    <w:p w14:paraId="6685108A">
      <w:pPr>
        <w:tabs>
          <w:tab w:val="left" w:pos="480"/>
        </w:tabs>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19D8757F">
      <w:pPr>
        <w:tabs>
          <w:tab w:val="left" w:pos="480"/>
        </w:tabs>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                    法定代表人：（签字）</w:t>
      </w:r>
    </w:p>
    <w:p w14:paraId="20204A2D">
      <w:pPr>
        <w:tabs>
          <w:tab w:val="left" w:pos="480"/>
        </w:tabs>
        <w:spacing w:line="480" w:lineRule="auto"/>
        <w:rPr>
          <w:rFonts w:hint="eastAsia" w:ascii="仿宋" w:hAnsi="仿宋" w:eastAsia="仿宋" w:cs="仿宋"/>
          <w:color w:val="auto"/>
          <w:sz w:val="24"/>
          <w:highlight w:val="none"/>
        </w:rPr>
      </w:pPr>
    </w:p>
    <w:p w14:paraId="11CA6D4D">
      <w:pPr>
        <w:tabs>
          <w:tab w:val="left" w:pos="480"/>
        </w:tabs>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代理人：（签字）                        代理人：（签字）</w:t>
      </w:r>
    </w:p>
    <w:p w14:paraId="1DCFEB5B">
      <w:pPr>
        <w:tabs>
          <w:tab w:val="left" w:pos="480"/>
        </w:tabs>
        <w:spacing w:line="480" w:lineRule="auto"/>
        <w:ind w:firstLine="4800" w:firstLineChars="20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w:t>
      </w:r>
    </w:p>
    <w:p w14:paraId="4C84C75E">
      <w:pPr>
        <w:tabs>
          <w:tab w:val="left" w:pos="480"/>
        </w:tabs>
        <w:spacing w:line="480" w:lineRule="auto"/>
        <w:ind w:firstLine="4800" w:firstLineChars="2000"/>
        <w:rPr>
          <w:rFonts w:hint="eastAsia" w:ascii="仿宋" w:hAnsi="仿宋" w:eastAsia="仿宋" w:cs="仿宋"/>
          <w:color w:val="auto"/>
          <w:sz w:val="24"/>
          <w:highlight w:val="none"/>
        </w:rPr>
      </w:pPr>
      <w:r>
        <w:rPr>
          <w:rFonts w:hint="eastAsia" w:ascii="仿宋" w:hAnsi="仿宋" w:eastAsia="仿宋" w:cs="仿宋"/>
          <w:color w:val="auto"/>
          <w:sz w:val="24"/>
          <w:highlight w:val="none"/>
        </w:rPr>
        <w:t>帐号：</w:t>
      </w:r>
    </w:p>
    <w:p w14:paraId="1CE13BAA">
      <w:pPr>
        <w:tabs>
          <w:tab w:val="left" w:pos="480"/>
        </w:tabs>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签订日期：   年    月    日             签订日期：   年    月    日</w:t>
      </w:r>
    </w:p>
    <w:p w14:paraId="07BAAC6C">
      <w:pPr>
        <w:tabs>
          <w:tab w:val="left" w:pos="480"/>
        </w:tabs>
        <w:rPr>
          <w:rFonts w:hint="eastAsia" w:ascii="仿宋" w:hAnsi="仿宋" w:eastAsia="仿宋" w:cs="仿宋"/>
          <w:color w:val="auto"/>
          <w:sz w:val="24"/>
          <w:highlight w:val="none"/>
        </w:rPr>
      </w:pPr>
    </w:p>
    <w:p w14:paraId="1F755F89">
      <w:pPr>
        <w:tabs>
          <w:tab w:val="left" w:pos="480"/>
        </w:tabs>
        <w:rPr>
          <w:rFonts w:hint="eastAsia" w:ascii="仿宋" w:hAnsi="仿宋" w:eastAsia="仿宋" w:cs="仿宋"/>
          <w:color w:val="auto"/>
          <w:sz w:val="24"/>
          <w:highlight w:val="none"/>
        </w:rPr>
      </w:pPr>
    </w:p>
    <w:p w14:paraId="74DEDC5D">
      <w:pPr>
        <w:tabs>
          <w:tab w:val="left" w:pos="480"/>
        </w:tabs>
        <w:rPr>
          <w:rFonts w:hint="eastAsia" w:ascii="仿宋" w:hAnsi="仿宋" w:eastAsia="仿宋" w:cs="仿宋"/>
          <w:color w:val="auto"/>
          <w:sz w:val="24"/>
          <w:highlight w:val="none"/>
        </w:rPr>
      </w:pPr>
    </w:p>
    <w:p w14:paraId="24B8D492">
      <w:pPr>
        <w:tabs>
          <w:tab w:val="left" w:pos="480"/>
        </w:tabs>
        <w:rPr>
          <w:rFonts w:hint="eastAsia" w:ascii="仿宋" w:hAnsi="仿宋" w:eastAsia="仿宋" w:cs="仿宋"/>
          <w:color w:val="auto"/>
          <w:sz w:val="24"/>
          <w:highlight w:val="none"/>
        </w:rPr>
      </w:pPr>
    </w:p>
    <w:p w14:paraId="61BFB762">
      <w:pPr>
        <w:tabs>
          <w:tab w:val="left" w:pos="480"/>
        </w:tabs>
        <w:rPr>
          <w:rFonts w:hint="eastAsia" w:ascii="仿宋" w:hAnsi="仿宋" w:eastAsia="仿宋" w:cs="仿宋"/>
          <w:color w:val="auto"/>
          <w:sz w:val="24"/>
          <w:highlight w:val="none"/>
        </w:rPr>
      </w:pPr>
    </w:p>
    <w:p w14:paraId="12EB1C59">
      <w:pPr>
        <w:tabs>
          <w:tab w:val="left" w:pos="480"/>
        </w:tabs>
        <w:rPr>
          <w:rFonts w:hint="eastAsia" w:ascii="仿宋" w:hAnsi="仿宋" w:eastAsia="仿宋" w:cs="仿宋"/>
          <w:color w:val="auto"/>
          <w:sz w:val="24"/>
          <w:highlight w:val="none"/>
        </w:rPr>
      </w:pPr>
    </w:p>
    <w:p w14:paraId="60AB2B77">
      <w:pPr>
        <w:tabs>
          <w:tab w:val="left" w:pos="480"/>
        </w:tabs>
        <w:rPr>
          <w:rFonts w:hint="eastAsia" w:ascii="仿宋" w:hAnsi="仿宋" w:eastAsia="仿宋" w:cs="仿宋"/>
          <w:color w:val="auto"/>
          <w:sz w:val="24"/>
          <w:highlight w:val="none"/>
        </w:rPr>
      </w:pPr>
    </w:p>
    <w:p w14:paraId="21AF69B8">
      <w:pPr>
        <w:tabs>
          <w:tab w:val="left" w:pos="480"/>
        </w:tabs>
        <w:rPr>
          <w:rFonts w:hint="eastAsia" w:ascii="仿宋" w:hAnsi="仿宋" w:eastAsia="仿宋" w:cs="仿宋"/>
          <w:color w:val="auto"/>
          <w:sz w:val="24"/>
          <w:highlight w:val="none"/>
        </w:rPr>
      </w:pPr>
    </w:p>
    <w:p w14:paraId="61778A7D">
      <w:pPr>
        <w:tabs>
          <w:tab w:val="left" w:pos="480"/>
        </w:tabs>
        <w:rPr>
          <w:rFonts w:hint="eastAsia" w:ascii="仿宋" w:hAnsi="仿宋" w:eastAsia="仿宋" w:cs="仿宋"/>
          <w:color w:val="auto"/>
          <w:sz w:val="24"/>
          <w:highlight w:val="none"/>
        </w:rPr>
      </w:pPr>
    </w:p>
    <w:p w14:paraId="4208C4A9">
      <w:pPr>
        <w:pStyle w:val="5"/>
        <w:ind w:firstLine="480"/>
        <w:rPr>
          <w:rFonts w:hint="eastAsia" w:ascii="仿宋" w:hAnsi="仿宋" w:eastAsia="仿宋" w:cs="仿宋"/>
          <w:color w:val="auto"/>
          <w:highlight w:val="none"/>
        </w:rPr>
      </w:pPr>
    </w:p>
    <w:p w14:paraId="656D6CC5">
      <w:pPr>
        <w:pStyle w:val="2"/>
        <w:rPr>
          <w:rFonts w:hint="eastAsia" w:ascii="仿宋" w:hAnsi="仿宋" w:eastAsia="仿宋" w:cs="仿宋"/>
          <w:color w:val="auto"/>
          <w:highlight w:val="none"/>
        </w:rPr>
      </w:pPr>
    </w:p>
    <w:p w14:paraId="31F2B88E">
      <w:pPr>
        <w:tabs>
          <w:tab w:val="left" w:pos="48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附件一：配置清单</w:t>
      </w:r>
    </w:p>
    <w:p w14:paraId="479EE425">
      <w:pPr>
        <w:tabs>
          <w:tab w:val="left" w:pos="480"/>
        </w:tabs>
        <w:rPr>
          <w:rFonts w:hint="eastAsia" w:ascii="仿宋" w:hAnsi="仿宋" w:eastAsia="仿宋" w:cs="仿宋"/>
          <w:color w:val="auto"/>
          <w:sz w:val="24"/>
          <w:highlight w:val="none"/>
        </w:rPr>
      </w:pPr>
    </w:p>
    <w:p w14:paraId="35A34100">
      <w:pPr>
        <w:tabs>
          <w:tab w:val="left" w:pos="480"/>
        </w:tabs>
        <w:rPr>
          <w:rFonts w:hint="eastAsia" w:ascii="仿宋" w:hAnsi="仿宋" w:eastAsia="仿宋" w:cs="仿宋"/>
          <w:color w:val="auto"/>
          <w:sz w:val="24"/>
          <w:highlight w:val="none"/>
        </w:rPr>
      </w:pPr>
      <w:r>
        <w:rPr>
          <w:rFonts w:hint="eastAsia" w:ascii="仿宋" w:hAnsi="仿宋" w:eastAsia="仿宋" w:cs="仿宋"/>
          <w:color w:val="auto"/>
          <w:sz w:val="24"/>
          <w:highlight w:val="none"/>
        </w:rPr>
        <w:t>附件二：设备参数</w:t>
      </w:r>
    </w:p>
    <w:p w14:paraId="53016382">
      <w:pPr>
        <w:pStyle w:val="4"/>
        <w:rPr>
          <w:rFonts w:hint="eastAsia" w:ascii="仿宋" w:hAnsi="仿宋" w:eastAsia="仿宋" w:cs="仿宋"/>
          <w:color w:val="auto"/>
          <w:sz w:val="24"/>
          <w:highlight w:val="none"/>
        </w:rPr>
      </w:pPr>
    </w:p>
    <w:p w14:paraId="77534924">
      <w:pPr>
        <w:rPr>
          <w:rFonts w:hint="eastAsia" w:ascii="仿宋" w:hAnsi="仿宋" w:eastAsia="仿宋" w:cs="仿宋"/>
          <w:b/>
          <w:color w:val="auto"/>
          <w:sz w:val="36"/>
          <w:szCs w:val="36"/>
          <w:highlight w:val="none"/>
        </w:rPr>
      </w:pPr>
      <w:r>
        <w:rPr>
          <w:rFonts w:hint="eastAsia" w:ascii="仿宋" w:hAnsi="仿宋" w:eastAsia="仿宋" w:cs="仿宋"/>
          <w:b/>
          <w:bCs/>
          <w:color w:val="auto"/>
          <w:sz w:val="24"/>
          <w:highlight w:val="none"/>
        </w:rPr>
        <w:t>备注：</w:t>
      </w:r>
      <w:r>
        <w:rPr>
          <w:rFonts w:hint="eastAsia" w:ascii="仿宋" w:hAnsi="仿宋" w:eastAsia="仿宋" w:cs="仿宋"/>
          <w:b/>
          <w:bCs/>
          <w:color w:val="auto"/>
          <w:sz w:val="24"/>
          <w:highlight w:val="none"/>
          <w:lang w:val="zh-CN"/>
        </w:rPr>
        <w:t>供货合同与技术参数不一致的以招标文件正本技术参数为准。</w:t>
      </w:r>
    </w:p>
    <w:p w14:paraId="66C8122D">
      <w:bookmarkStart w:id="1" w:name="_GoBack"/>
      <w:bookmarkEnd w:id="1"/>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95D9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34B1C8">
                          <w:pPr>
                            <w:pStyle w:val="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A34B1C8">
                    <w:pPr>
                      <w:pStyle w:val="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39</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64644F"/>
    <w:multiLevelType w:val="singleLevel"/>
    <w:tmpl w:val="AB64644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4D2AF4"/>
    <w:rsid w:val="15DA2023"/>
    <w:rsid w:val="1B4D2AF4"/>
    <w:rsid w:val="2E103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next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First Indent 2"/>
    <w:basedOn w:val="3"/>
    <w:next w:val="1"/>
    <w:qFormat/>
    <w:uiPriority w:val="0"/>
    <w:pPr>
      <w:spacing w:after="0" w:line="360" w:lineRule="auto"/>
      <w:ind w:left="0" w:leftChars="0" w:firstLine="420" w:firstLineChars="200"/>
    </w:pPr>
    <w:rPr>
      <w:rFonts w:ascii="Calibri" w:hAnsi="Calibri"/>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2026-03-16T02:34:00Z</dcterms:created>
  <dc:creator>豆、浆</dc:creator>
  <cp:lastModifiedBy>豆、浆</cp:lastModifiedBy>
  <dcterms:modified xsi:type="dcterms:W3CDTF">2026-03-16T02:34:32Z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B107AF19C2FD47408EC36A96ED6F4002_11</vt:lpwstr>
  </property>
  <property fmtid="{D5CDD505-2E9C-101B-9397-08002B2CF9AE}" pid="4" name="KSOTemplateDocerSaveRecord">
    <vt:lpwstr>eyJoZGlkIjoiYzAwNjk4NTUwMzAyYzU4YWZkOWU3NmQ3MmI1ZGZlMDMiLCJ1c2VySWQiOiIxMDY3MTk2NDE2In0=</vt:lpwstr>
  </property>
</Properties>
</file>