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版本号：ZCTH2026-03-01120260313001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2026年人力资源服务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ZCTH2026-03-011</w:t>
      </w:r>
      <w:r>
        <w:br/>
      </w:r>
      <w:r>
        <w:br/>
      </w:r>
      <w:r>
        <w:br/>
      </w:r>
    </w:p>
    <w:p>
      <w:pPr>
        <w:pStyle w:val="null3"/>
        <w:jc w:val="center"/>
        <w:outlineLvl w:val="2"/>
      </w:pPr>
      <w:r>
        <w:rPr>
          <w:rFonts w:ascii="仿宋_GB2312" w:hAnsi="仿宋_GB2312" w:cs="仿宋_GB2312" w:eastAsia="仿宋_GB2312"/>
          <w:sz w:val="28"/>
          <w:b/>
        </w:rPr>
        <w:t>西安市体育运动学校</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西安市体育运动学校</w:t>
      </w:r>
      <w:r>
        <w:rPr>
          <w:rFonts w:ascii="仿宋_GB2312" w:hAnsi="仿宋_GB2312" w:cs="仿宋_GB2312" w:eastAsia="仿宋_GB2312"/>
        </w:rPr>
        <w:t>委托，拟对</w:t>
      </w:r>
      <w:r>
        <w:rPr>
          <w:rFonts w:ascii="仿宋_GB2312" w:hAnsi="仿宋_GB2312" w:cs="仿宋_GB2312" w:eastAsia="仿宋_GB2312"/>
        </w:rPr>
        <w:t>2026年人力资源服务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ZCTH2026-03-011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2026年人力资源服务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2026年人力资源服务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采购包1（2026年人力资源服务）：属于专门面向中小企业采购。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2、资质证书：供应商须提供有效的《人力资源服务许可证》</w:t>
      </w:r>
    </w:p>
    <w:p>
      <w:pPr>
        <w:pStyle w:val="null3"/>
      </w:pPr>
      <w:r>
        <w:rPr>
          <w:rFonts w:ascii="仿宋_GB2312" w:hAnsi="仿宋_GB2312" w:cs="仿宋_GB2312" w:eastAsia="仿宋_GB2312"/>
        </w:rPr>
        <w:t>3、法定代表人授权委托书：法定代表人参加投标的，须出示身份证；法定代表人授权他人参加投标的，须提供法定代表人授权委托书及被授权人身份证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4、财务状况报告：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5、税收缴纳证明：提供提交投标文件截止时间前一年内至少一个月已缴纳的任意税种凭据；依法免税的投标人应提供相关文件证明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6、社会保障资金缴纳证明：提供提交投标文件截止时间前一年内至少一个月已缴纳的社会保障资金的凭据（专用收据或社会保险缴纳清单）；依法不需要缴纳社会保障资金的投标人应提供相关文件证明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7、书面声明：提供具有履行本合同所必需的设备和专业技术能力的声明、参加采购活动前3年内在经营活动中没有重大违法记录的书面承诺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西安市体育运动学校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陕西省西安市灞桥区林泓路西安市体育训练中心保障楼9楼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西安市体育运动学校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党碧影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采购项目的中标（成交）金额作为收费基数，参照国家计委（计价格【2002】1980号）《招标代理服务收费管理暂行办法》规定的货物类收费标准收取。由成交供应商向采购代理机构一次性支付，具体收费金额以采购结果公示为准。 2.成交单位在领取成交通知书前，须向采购代理机构一次性支付采购代理服务费。 3.代理费缴存账户： 开户收款单位：陕西中诚天和项目管理有限公司； 开户银行：中国建设银行股份有限公司西安高新自贸区支行； 银行账号：61050110066700001164 。</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西安市体育运动学校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西安市体育运动学校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西安市体育运动学校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2026年人力资源服务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1,050,600.00</w:t>
      </w:r>
    </w:p>
    <w:p>
      <w:pPr>
        <w:pStyle w:val="null3"/>
      </w:pPr>
      <w:r>
        <w:rPr>
          <w:rFonts w:ascii="仿宋_GB2312" w:hAnsi="仿宋_GB2312" w:cs="仿宋_GB2312" w:eastAsia="仿宋_GB2312"/>
        </w:rPr>
        <w:t>采购包最高限价（元）: 1,050,600.00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1050600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1,050,600.00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标的名称：1050600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服务范围</w:t>
            </w:r>
          </w:p>
          <w:p>
            <w:pPr>
              <w:pStyle w:val="null3"/>
            </w:pPr>
            <w:r>
              <w:rPr>
                <w:rFonts w:ascii="仿宋_GB2312" w:hAnsi="仿宋_GB2312" w:cs="仿宋_GB2312" w:eastAsia="仿宋_GB2312"/>
                <w:sz w:val="24"/>
              </w:rPr>
              <w:t>根据国家法律法规及采购人要求，供应商须履行劳务派遣相关义务，包括但不限于招聘管理、劳动关系管理、社会保险、薪酬发放、人事资料管理、入离职管理及争议纠纷处理等。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rPr>
              <w:t>供应商需为本项目安排专门的、管理经验丰富的项目管理团队。</w:t>
            </w:r>
          </w:p>
          <w:p>
            <w:pPr>
              <w:pStyle w:val="null3"/>
              <w:ind w:firstLine="480"/>
              <w:jc w:val="both"/>
            </w:pPr>
            <w:r>
              <w:rPr>
                <w:rFonts w:ascii="仿宋_GB2312" w:hAnsi="仿宋_GB2312" w:cs="仿宋_GB2312" w:eastAsia="仿宋_GB2312"/>
                <w:sz w:val="24"/>
              </w:rPr>
              <w:t>1.招聘管理要求</w:t>
            </w:r>
          </w:p>
          <w:p>
            <w:pPr>
              <w:pStyle w:val="null3"/>
              <w:ind w:firstLine="480"/>
              <w:jc w:val="both"/>
            </w:pPr>
            <w:r>
              <w:rPr>
                <w:rFonts w:ascii="仿宋_GB2312" w:hAnsi="仿宋_GB2312" w:cs="仿宋_GB2312" w:eastAsia="仿宋_GB2312"/>
                <w:sz w:val="24"/>
              </w:rPr>
              <w:t>供应商应当对被派出到采购人的派遣员工进行必要的培训，涉及内容至少包括采购人公司简介、法律意识、安全意识和职业道德等。供应商应当保证受训人对于培训内容全部了解并掌握，使其能较好胜任劳务工作。</w:t>
            </w:r>
          </w:p>
          <w:p>
            <w:pPr>
              <w:pStyle w:val="null3"/>
              <w:ind w:firstLine="480"/>
              <w:jc w:val="both"/>
            </w:pPr>
            <w:r>
              <w:rPr>
                <w:rFonts w:ascii="仿宋_GB2312" w:hAnsi="仿宋_GB2312" w:cs="仿宋_GB2312" w:eastAsia="仿宋_GB2312"/>
                <w:sz w:val="24"/>
              </w:rPr>
              <w:t>2.劳动关系管理要求</w:t>
            </w:r>
          </w:p>
          <w:p>
            <w:pPr>
              <w:pStyle w:val="null3"/>
              <w:ind w:firstLine="480"/>
              <w:jc w:val="both"/>
            </w:pPr>
            <w:r>
              <w:rPr>
                <w:rFonts w:ascii="仿宋_GB2312" w:hAnsi="仿宋_GB2312" w:cs="仿宋_GB2312" w:eastAsia="仿宋_GB2312"/>
                <w:sz w:val="24"/>
              </w:rPr>
              <w:t>供应商应根据国家法律法规相关要求，及时与派遣员工建立劳动关系。此外，供应商需委派专业项目管理团队，协调采购人与派遣员工之间的关系，负责派遣员工的日常管理，协助处理劳动争议与其他务工事项。</w:t>
            </w:r>
          </w:p>
          <w:p>
            <w:pPr>
              <w:pStyle w:val="null3"/>
              <w:ind w:firstLine="480"/>
              <w:jc w:val="both"/>
            </w:pPr>
            <w:r>
              <w:rPr>
                <w:rFonts w:ascii="仿宋_GB2312" w:hAnsi="仿宋_GB2312" w:cs="仿宋_GB2312" w:eastAsia="仿宋_GB2312"/>
                <w:sz w:val="24"/>
              </w:rPr>
              <w:t>3.办理社会保险要求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应依法按时足额发放派遣员工劳务报酬、缴纳各项保险，并根据派遣员工工资收入，申报社会保险缴费基数，代扣代缴应由员工个人缴纳的社会保险费、个人所得税和依法应予代扣代缴的其他费用后，以银行工资卡的方式，按规定时间发放员工的工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2）派遣员工派遣期届满后，社会保险关系的转移等手续由供应商办理。</w:t>
            </w:r>
          </w:p>
          <w:p>
            <w:pPr>
              <w:pStyle w:val="null3"/>
              <w:ind w:firstLine="480"/>
              <w:jc w:val="both"/>
            </w:pPr>
            <w:r>
              <w:rPr>
                <w:rFonts w:ascii="仿宋_GB2312" w:hAnsi="仿宋_GB2312" w:cs="仿宋_GB2312" w:eastAsia="仿宋_GB2312"/>
                <w:sz w:val="24"/>
              </w:rPr>
              <w:t>4.薪酬发放要求</w:t>
            </w:r>
          </w:p>
          <w:p>
            <w:pPr>
              <w:pStyle w:val="null3"/>
              <w:ind w:firstLine="480"/>
              <w:jc w:val="both"/>
            </w:pPr>
            <w:r>
              <w:rPr>
                <w:rFonts w:ascii="仿宋_GB2312" w:hAnsi="仿宋_GB2312" w:cs="仿宋_GB2312" w:eastAsia="仿宋_GB2312"/>
                <w:sz w:val="24"/>
              </w:rPr>
              <w:t>工资核算及发放：供应商根据采购人核定的薪酬标准，在采购人指定的日期前向派遣员工核算并足额发放当月工资，向采购人提供薪酬发放明细，且开具对应发票；</w:t>
            </w:r>
          </w:p>
          <w:p>
            <w:pPr>
              <w:pStyle w:val="null3"/>
              <w:ind w:firstLine="480"/>
              <w:jc w:val="both"/>
            </w:pPr>
            <w:r>
              <w:rPr>
                <w:rFonts w:ascii="仿宋_GB2312" w:hAnsi="仿宋_GB2312" w:cs="仿宋_GB2312" w:eastAsia="仿宋_GB2312"/>
                <w:sz w:val="24"/>
              </w:rPr>
              <w:t>5.人事资料管理要求</w:t>
            </w:r>
          </w:p>
          <w:p>
            <w:pPr>
              <w:pStyle w:val="null3"/>
              <w:ind w:firstLine="480"/>
              <w:jc w:val="both"/>
            </w:pPr>
            <w:r>
              <w:rPr>
                <w:rFonts w:ascii="仿宋_GB2312" w:hAnsi="仿宋_GB2312" w:cs="仿宋_GB2312" w:eastAsia="仿宋_GB2312"/>
                <w:sz w:val="24"/>
              </w:rPr>
              <w:t>供应商应根据行业规定做好派遣人员的人事资料管理，并根据采购人或派遣员工需要及时提供。</w:t>
            </w:r>
          </w:p>
          <w:p>
            <w:pPr>
              <w:pStyle w:val="null3"/>
              <w:ind w:firstLine="480"/>
              <w:jc w:val="both"/>
            </w:pPr>
            <w:r>
              <w:rPr>
                <w:rFonts w:ascii="仿宋_GB2312" w:hAnsi="仿宋_GB2312" w:cs="仿宋_GB2312" w:eastAsia="仿宋_GB2312"/>
                <w:sz w:val="24"/>
              </w:rPr>
              <w:t>6.入离职管理要求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1）供应商应做好派遣人员的入离职率统计，针对派遣员工的实际入离职数据，提供分析报告。定期向采购人提供分析报告。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派遣员工因故发生变更时，供应商须提前2周书面告知采购人，经采购人同意后方可变更，如遇派遣离职情况，供应商应在离职之日起三个工作日内向采购人出具该人员离职证明文件，且供应商须在该人员离职前2周内补充合格人员并做好相关工作交接。</w:t>
            </w:r>
          </w:p>
          <w:p>
            <w:pPr>
              <w:pStyle w:val="null3"/>
              <w:ind w:firstLine="480"/>
              <w:jc w:val="both"/>
            </w:pPr>
            <w:r>
              <w:rPr>
                <w:rFonts w:ascii="仿宋_GB2312" w:hAnsi="仿宋_GB2312" w:cs="仿宋_GB2312" w:eastAsia="仿宋_GB2312"/>
                <w:sz w:val="24"/>
              </w:rPr>
              <w:t>7.争议纠纷处理要求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1）劳动纠纷问题的现场处理:供应商负责快速、及时处理员工与采购人的劳动争议，包括协助仲裁，法律咨询等，不给采购人造成负面影响。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2）工伤/工亡及突发意外事件处理：采购人快速、及时处理派遣人员工伤/工亡及突发意外等相关事故，不给采购人造成负面影响。</w:t>
            </w:r>
          </w:p>
          <w:p>
            <w:pPr>
              <w:pStyle w:val="null3"/>
              <w:ind w:firstLine="480"/>
              <w:jc w:val="both"/>
            </w:pPr>
            <w:r>
              <w:rPr>
                <w:rFonts w:ascii="仿宋_GB2312" w:hAnsi="仿宋_GB2312" w:cs="仿宋_GB2312" w:eastAsia="仿宋_GB2312"/>
                <w:sz w:val="24"/>
              </w:rPr>
              <w:t>8.其他要求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1）派遣员工行为若违反法律等，并给采购人造成经济损失的，供应商应积极主动配合采购人及公检法部门的工作办理相关事宜；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派遣员工在履行合同期间发生因工人身伤亡事故时，采购人在事发24小时内电话及书面通知供应商，并提供所需资料，由供应商统计、上报、申请理赔。供应商申报完成后，供应商应依法及时足额支付给员工及其家属；</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3）派遣员工非因工死亡时，社会保险应支付给派遣员工的费用由供应商负责按照社会保险机构的规定申领并依法支付给派遣员工家属；</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4）用工期间若派遣员工出现违反采购人相关规定的，在接到采购人通知及证明材料后应第一时间作出相应处罚，情节严重的应予以解聘。</w:t>
            </w:r>
          </w:p>
          <w:p>
            <w:pPr>
              <w:pStyle w:val="null3"/>
            </w:pPr>
            <w:r>
              <w:rPr>
                <w:rFonts w:ascii="仿宋_GB2312" w:hAnsi="仿宋_GB2312" w:cs="仿宋_GB2312" w:eastAsia="仿宋_GB2312"/>
                <w:sz w:val="24"/>
              </w:rPr>
              <w:t>（</w:t>
            </w:r>
            <w:r>
              <w:rPr>
                <w:rFonts w:ascii="仿宋_GB2312" w:hAnsi="仿宋_GB2312" w:cs="仿宋_GB2312" w:eastAsia="仿宋_GB2312"/>
                <w:sz w:val="24"/>
              </w:rPr>
              <w:t>5）对派遣员工的人数、工资、奖金、加班费、津补贴、社会保险费、福利费等，按采购人有关规定执行。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派遣人员17名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服务质量：质量达到现行合格标准，符合国家、行业、地方规定的质量和安全标准要求。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质检机构、采购代理机构共同进行验收,验收费用由中标人支付；验收合格须交接项目实施的全部资料，并填写政府采购项目验收报告单。验收须以合同、招投标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服务合同签订后，由乙方提出付款申请并开具增值税发票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合同签订后两个月，由乙方提出付款申请并开具增值税发票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合同签订后四个月，由乙方提出付款申请并开具增值税发票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合同签订后六个月，由乙方提出付款申请并开具增值税发票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供应商须提供有效的《人力资源服务许可证》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1.响应文件是否按照磋商文件规定提交的；2.响应文件的签署、加盖印章是否合格、有效；提供的各种证明文件、数据、资料是否真实、有效； 3.磋商报价是否超过采购预算；4.17人五险一金及工资固定价格是否等于102.65万元；5.响应文件附加了采购人难以接受的条件或条款的；6.响应文件未实质性响应磋商文件要求的；7.不符合法律、法规和磋商文件中规定的其他实质性要求的。</w:t>
            </w:r>
          </w:p>
        </w:tc>
        <w:tc>
          <w:tcPr>
            <w:tcW w:type="dxa" w:w="1661"/>
          </w:tcPr>
          <w:p>
            <w:pPr>
              <w:pStyle w:val="null3"/>
            </w:pPr>
            <w:r>
              <w:rPr>
                <w:rFonts w:ascii="仿宋_GB2312" w:hAnsi="仿宋_GB2312" w:cs="仿宋_GB2312" w:eastAsia="仿宋_GB2312"/>
              </w:rPr>
              <w:t>响应文件封面 服务内容及服务邀请应答表 商务应答表 服务方案 其他证明材料.docx 分项报价表(1).docx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一、评审内容 提供针对本项目采购人要求的服务内容的需求分析（包括但不限于①工作现状分析；②采购人业务需求分析；③行业特殊性的重点难点分析等方面）。 二、评审标准 完善性：方案必须全面，对评审内容中的各项要求有详细阐述； 2、可实施性：切合本项目实际情况，提出步骤清晰、合理的方案； 3、针对性：方案能够紧扣项目实际情况，内容科学合理。 上述3项评审内容全部满足评审标准得18分，每有一个评审内容缺项扣6分，每有一项评审内容存在缺陷，扣（0-6）分。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针对本项目提供具体可行的服务方案，包括但不限于①管理方案；②服务定位；③服务方案；④考核机制；⑤监督机制；⑥制定档案资料管理和移交工作制度。 二、评审标准 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上述6项评审内容全部满足评审标准得18分，每有一个评审内容缺项扣3分，每有一项评审内容存在缺陷，扣（0-3）分，扣完为止。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服务质量控制措施及承诺</w:t>
            </w:r>
          </w:p>
        </w:tc>
        <w:tc>
          <w:tcPr>
            <w:tcW w:type="dxa" w:w="2492"/>
          </w:tcPr>
          <w:p>
            <w:pPr>
              <w:pStyle w:val="null3"/>
            </w:pPr>
            <w:r>
              <w:rPr>
                <w:rFonts w:ascii="仿宋_GB2312" w:hAnsi="仿宋_GB2312" w:cs="仿宋_GB2312" w:eastAsia="仿宋_GB2312"/>
              </w:rPr>
              <w:t>一、评审内容 针对本项目提供具体可行的服务质量控制措施及承诺，包括但不限于①培训方案；②有利于本项目实施的服务承诺；③质量保证措施。 二、评审标准 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针对本项目提供具体可行的团队配置方案，包括但不限于①团队人员架构；②岗位人员配置合理，有丰富的项目经验；③团队人员管理制度。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上述3项评审内容全部满足评审标准得18分，每有一个评审内容缺项扣6分，每有一项评审内容存在缺陷，扣（0-6）分，扣完为止。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针对本项目提供具体可行的应急方案，包括但不限于①发生故障或事故时的应急方案；②劳务纠纷；③工伤处置预案。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供应商具有2023年1月至今的同类业绩证明文件（以合同签订时间为准），每提供一个得2分，满分6分。 注：响应文件中附加盖供应商公章的合同复印件。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