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版本号：HHZB2026-DY-02720260316001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诉服中心业务用房租赁服务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HHZB2026-DY-027</w:t>
      </w:r>
      <w:r>
        <w:br/>
      </w:r>
      <w:r>
        <w:br/>
      </w:r>
      <w:r>
        <w:br/>
      </w:r>
    </w:p>
    <w:p>
      <w:pPr>
        <w:pStyle w:val="null3"/>
        <w:jc w:val="center"/>
        <w:outlineLvl w:val="5"/>
      </w:pPr>
      <w:r>
        <w:rPr>
          <w:rFonts w:ascii="仿宋_GB2312" w:hAnsi="仿宋_GB2312" w:cs="仿宋_GB2312" w:eastAsia="仿宋_GB2312"/>
          <w:sz w:val="15"/>
          <w:b/>
        </w:rPr>
        <w:t>西安市灞桥区人民法院[157]</w:t>
      </w:r>
    </w:p>
    <w:p>
      <w:pPr>
        <w:pStyle w:val="null3"/>
        <w:jc w:val="center"/>
        <w:outlineLvl w:val="5"/>
      </w:pPr>
      <w:r>
        <w:rPr>
          <w:rFonts w:ascii="仿宋_GB2312" w:hAnsi="仿宋_GB2312" w:cs="仿宋_GB2312" w:eastAsia="仿宋_GB2312"/>
          <w:sz w:val="15"/>
          <w:b/>
        </w:rPr>
        <w:t>陕西瀚海昱源企业管理咨询有限公司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陕西瀚海昱源企业管理咨询有限公司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西安市灞桥区人民法院[157]</w:t>
      </w:r>
      <w:r>
        <w:rPr>
          <w:rFonts w:ascii="仿宋_GB2312" w:hAnsi="仿宋_GB2312" w:cs="仿宋_GB2312" w:eastAsia="仿宋_GB2312"/>
        </w:rPr>
        <w:t>委托，拟对</w:t>
      </w:r>
      <w:r>
        <w:rPr>
          <w:rFonts w:ascii="仿宋_GB2312" w:hAnsi="仿宋_GB2312" w:cs="仿宋_GB2312" w:eastAsia="仿宋_GB2312"/>
        </w:rPr>
        <w:t>诉服中心业务用房租赁服务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HHZB2026-DY-027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诉服中心业务用房租赁服务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西安市灞桥区人民法院目前办公地点为西安市灞桥区纺一路668号，因工作需要拟租赁适当房屋，作为诉讼服务中心用房。</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采购包1（诉服中心业务用房租赁服务）：属于专门面向中小企业采购。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2024年度财务报告或开标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3、税收缴纳证明：提供已缴纳的2025年9月1日以来至少一个月的纳税证明或完税证明，纳税证明或完税证明上应有代收机构或税务机关的公章或业务专用章。依法免税的投标人应提供相关文件证明。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4、社保缴纳证明：提供已缴纳的2025年9月1日以来至少一个月 的社会保障资金缴存单据或社保机构开具的社 会保险参保缴费情况证明。成立时间至提交投 标文件截止时间不足一个月或依法不需要缴纳 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西安市灞桥区人民法院[157]</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灞桥区纺一路668号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西安市灞桥区人民法院[157]经办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029-83533359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陕西瀚海昱源企业管理咨询有限公司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陕西省西安市高新区高新路枫叶大厦1幢C1301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陈恺、马超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029-87309603 13359182918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采购包1：765,000.00元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采购包1：765,000.00元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展改革委办公厅关于招标代理服务收费有关问题的通知》（发改价格[2003]857号）文件的通知标准收取。由委托方向受托方一次性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西安市灞桥区人民法院[157]</w:t>
      </w:r>
      <w:r>
        <w:rPr>
          <w:rFonts w:ascii="仿宋_GB2312" w:hAnsi="仿宋_GB2312" w:cs="仿宋_GB2312" w:eastAsia="仿宋_GB2312"/>
        </w:rPr>
        <w:t>和</w:t>
      </w:r>
      <w:r>
        <w:rPr>
          <w:rFonts w:ascii="仿宋_GB2312" w:hAnsi="仿宋_GB2312" w:cs="仿宋_GB2312" w:eastAsia="仿宋_GB2312"/>
        </w:rPr>
        <w:t>陕西瀚海昱源企业管理咨询有限公司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陕西瀚海昱源企业管理咨询有限公司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西安市灞桥区人民法院[157]</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陕西瀚海昱源企业管理咨询有限公司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西安市灞桥区人民法院目前办公地点为西安市灞桥区纺一路668号，因工作需要拟租赁适当房屋，作为诉讼服务中心用房。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765,000.00</w:t>
      </w:r>
    </w:p>
    <w:p>
      <w:pPr>
        <w:pStyle w:val="null3"/>
      </w:pPr>
      <w:r>
        <w:rPr>
          <w:rFonts w:ascii="仿宋_GB2312" w:hAnsi="仿宋_GB2312" w:cs="仿宋_GB2312" w:eastAsia="仿宋_GB2312"/>
        </w:rPr>
        <w:t>采购包最高限价（元）: 765,000.00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西安市灞桥区人民法院目前办公地点为西安市灞桥区纺一路</w:t>
            </w:r>
            <w:r>
              <w:rPr>
                <w:rFonts w:ascii="仿宋_GB2312" w:hAnsi="仿宋_GB2312" w:cs="仿宋_GB2312" w:eastAsia="仿宋_GB2312"/>
                <w:sz w:val="21"/>
              </w:rPr>
              <w:t>668号，因工作需要，拟租赁适当房屋，作为诉讼服务中心用房。</w:t>
            </w:r>
          </w:p>
          <w:p>
            <w:pPr>
              <w:pStyle w:val="null3"/>
              <w:ind w:firstLine="420"/>
              <w:jc w:val="both"/>
            </w:pPr>
            <w:r>
              <w:rPr>
                <w:rFonts w:ascii="仿宋_GB2312" w:hAnsi="仿宋_GB2312" w:cs="仿宋_GB2312" w:eastAsia="仿宋_GB2312"/>
                <w:sz w:val="21"/>
              </w:rPr>
              <w:t>经西安市财政局、西安市发改委、西安市住建局西安市机关事务服务中心的共同努力，最终确定租赁西安市灞桥区纺新街与纺三路口以北，纺新街西侧的三棉社区城改用房，作为诉讼服务中心技术业务用房。</w:t>
            </w:r>
          </w:p>
          <w:p>
            <w:pPr>
              <w:pStyle w:val="null3"/>
              <w:ind w:firstLine="420"/>
              <w:jc w:val="both"/>
            </w:pPr>
            <w:r>
              <w:rPr>
                <w:rFonts w:ascii="仿宋_GB2312" w:hAnsi="仿宋_GB2312" w:cs="仿宋_GB2312" w:eastAsia="仿宋_GB2312"/>
                <w:sz w:val="21"/>
              </w:rPr>
              <w:t>根据最高人民法院发布的《人民法院诉讼服务中心技术标准》（</w:t>
            </w:r>
            <w:r>
              <w:rPr>
                <w:rFonts w:ascii="仿宋_GB2312" w:hAnsi="仿宋_GB2312" w:cs="仿宋_GB2312" w:eastAsia="仿宋_GB2312"/>
                <w:sz w:val="21"/>
              </w:rPr>
              <w:t>FYB2-2016）以及采购人单位对办公用房的实际需求，租赁面积为850㎡。租赁期为12个月，项目预算金额为人民币765,000元。</w:t>
            </w:r>
          </w:p>
          <w:p>
            <w:pPr>
              <w:pStyle w:val="null3"/>
              <w:ind w:firstLine="420"/>
              <w:jc w:val="both"/>
            </w:pPr>
            <w:r>
              <w:rPr>
                <w:rFonts w:ascii="仿宋_GB2312" w:hAnsi="仿宋_GB2312" w:cs="仿宋_GB2312" w:eastAsia="仿宋_GB2312"/>
                <w:sz w:val="21"/>
              </w:rPr>
              <w:t>该商业楼地理位置醒目、交通便利，具备良好的办公条件。</w:t>
            </w:r>
          </w:p>
          <w:p>
            <w:pPr>
              <w:pStyle w:val="null3"/>
              <w:jc w:val="both"/>
            </w:pPr>
            <w:r>
              <w:rPr>
                <w:rFonts w:ascii="仿宋_GB2312" w:hAnsi="仿宋_GB2312" w:cs="仿宋_GB2312" w:eastAsia="仿宋_GB2312"/>
                <w:sz w:val="21"/>
              </w:rPr>
              <w:t>办公用房须严格执行《党政机关办公用房建设标准》、《陕西省党政机关办公用房管理办法》的相关规定，诉讼服务中心和其他技术业务用房须严格执行《人民法院诉讼服务中心技术标准》（</w:t>
            </w:r>
            <w:r>
              <w:rPr>
                <w:rFonts w:ascii="仿宋_GB2312" w:hAnsi="仿宋_GB2312" w:cs="仿宋_GB2312" w:eastAsia="仿宋_GB2312"/>
                <w:sz w:val="21"/>
              </w:rPr>
              <w:t>FYB2-2016）和《人民法院法庭建设标准》的相关规定。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1.投标人在编制本项目中小企业声明函时，标的名称应填写: 诉服中心业务用房租赁服务。 2.供应商最后报价时同步上传“最终分项报价表”至附件。 3中标投标人下载中标（成交）通知书后，向采购代理机构提供壹正壹副纸质投标文件用于备案及档案保存。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供应商需提供具有财务审计资质单位出具的2024年度财务报告或开标前六个月内其基本账户银行出具的资信证明或财政部门认可的政府采购专业担保机构出具的担保函，以上形式的证明资料提供任何一种即可。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提供已缴纳的2025年9月1日以来至少一个月的纳税证明或完税证明，纳税证明或完税证明上应有代收机构或税务机关的公章或业务专用章。依法免税的投标人应提供相关文件证明。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提供已缴纳的2025年9月1日以来至少一个月 的社会保障资金缴存单据或社保机构开具的社 会保险参保缴费情况证明。成立时间至提交投 标文件截止时间不足一个月或依法不需要缴纳 社会保障资金的投标人应提供相关文件证明；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 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 首次分项报价表.docx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 首次分项报价表.docx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服务内容及服务邀请应答表 中小企业声明函 商务应答表 报价表 资格证明文件.docx 首次分项报价表.docx 响应文件封面 残疾人福利性单位声明函 服务方案 标的清单 最终分项报价表.docx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详见附件：最终分项报价表.docx</w:t>
      </w:r>
    </w:p>
    <w:p>
      <w:pPr>
        <w:pStyle w:val="null3"/>
        <w:ind w:firstLine="960"/>
      </w:pPr>
      <w:r>
        <w:rPr>
          <w:rFonts w:ascii="仿宋_GB2312" w:hAnsi="仿宋_GB2312" w:cs="仿宋_GB2312" w:eastAsia="仿宋_GB2312"/>
        </w:rPr>
        <w:t>详见附件：首次分项报价表.docx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详见附件：租赁合同..docx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