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color w:val="auto"/>
          <w:kern w:val="0"/>
          <w:sz w:val="32"/>
          <w:szCs w:val="32"/>
          <w:highlight w:val="none"/>
          <w:lang w:val="en-US" w:eastAsia="zh-CN"/>
        </w:rPr>
        <w:t>供应商应提交的相关资格证明材料</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before="120" w:line="360" w:lineRule="auto"/>
        <w:jc w:val="center"/>
        <w:outlineLvl w:val="2"/>
        <w:rPr>
          <w:rFonts w:hAnsi="宋体" w:cs="宋体"/>
          <w:sz w:val="21"/>
          <w:szCs w:val="21"/>
        </w:rPr>
      </w:pPr>
      <w:bookmarkStart w:id="0" w:name="_Toc8313"/>
      <w:bookmarkStart w:id="1" w:name="_Toc10232"/>
      <w:bookmarkStart w:id="2" w:name="_Toc30017"/>
      <w:bookmarkStart w:id="3" w:name="_Toc10169"/>
      <w:bookmarkStart w:id="4" w:name="_Toc1730"/>
      <w:bookmarkStart w:id="5" w:name="_Toc2296"/>
      <w:bookmarkStart w:id="6" w:name="_Toc495681251"/>
      <w:bookmarkStart w:id="7" w:name="_Toc495681532"/>
      <w:bookmarkStart w:id="8" w:name="_Toc495671262"/>
      <w:bookmarkStart w:id="9" w:name="_Toc495908047"/>
      <w:bookmarkStart w:id="10" w:name="_Toc31488"/>
      <w:bookmarkStart w:id="11" w:name="_Toc495681405"/>
      <w:bookmarkStart w:id="12" w:name="_Toc27035"/>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27384"/>
      <w:bookmarkStart w:id="14" w:name="_Toc4584"/>
      <w:bookmarkStart w:id="15" w:name="_Toc21316"/>
      <w:bookmarkStart w:id="16" w:name="_Toc24754"/>
      <w:bookmarkStart w:id="17" w:name="_Toc30185"/>
      <w:bookmarkStart w:id="18" w:name="_Toc25217"/>
      <w:bookmarkStart w:id="19" w:name="_Toc894"/>
      <w:bookmarkStart w:id="20" w:name="_Toc32165"/>
      <w:bookmarkStart w:id="21" w:name="_Toc20217"/>
      <w:bookmarkStart w:id="22" w:name="_Toc19057"/>
      <w:bookmarkStart w:id="23" w:name="_Toc495671270"/>
      <w:bookmarkStart w:id="24" w:name="_Toc16911"/>
      <w:r>
        <w:rPr>
          <w:rFonts w:hint="eastAsia" w:hAnsi="宋体" w:cs="宋体"/>
          <w:b/>
          <w:bCs/>
          <w:sz w:val="21"/>
          <w:szCs w:val="21"/>
        </w:rPr>
        <w:t>（二）财务状况报告</w:t>
      </w:r>
      <w:bookmarkEnd w:id="13"/>
      <w:bookmarkEnd w:id="14"/>
      <w:bookmarkEnd w:id="15"/>
      <w:bookmarkEnd w:id="16"/>
      <w:bookmarkEnd w:id="17"/>
      <w:bookmarkEnd w:id="18"/>
    </w:p>
    <w:p>
      <w:pPr>
        <w:pStyle w:val="6"/>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供应商需提供具有财务审计资质单位出具的202</w:t>
      </w:r>
      <w:r>
        <w:rPr>
          <w:rFonts w:hint="eastAsia" w:hAnsi="宋体" w:cs="宋体"/>
          <w:sz w:val="21"/>
          <w:szCs w:val="21"/>
          <w:lang w:val="en-US" w:eastAsia="zh-CN"/>
        </w:rPr>
        <w:t>4</w:t>
      </w:r>
      <w:bookmarkStart w:id="76" w:name="_GoBack"/>
      <w:bookmarkEnd w:id="76"/>
      <w:r>
        <w:rPr>
          <w:rFonts w:hint="eastAsia" w:hAnsi="宋体" w:cs="宋体"/>
          <w:sz w:val="21"/>
          <w:szCs w:val="21"/>
        </w:rPr>
        <w:t>年度财务报告或开标前六个月内其基本账户银行出具的资信证明或财政部门认可的政府采购专业担保机构出具的担保函，以上形式的证明资料提供任何一种即可。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Style w:val="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6124"/>
      <w:bookmarkStart w:id="26" w:name="_Toc17892"/>
      <w:bookmarkStart w:id="27" w:name="_Toc27653"/>
      <w:bookmarkStart w:id="28" w:name="_Toc5342"/>
      <w:bookmarkStart w:id="29" w:name="_Toc19234"/>
      <w:bookmarkStart w:id="30" w:name="_Toc4064"/>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7"/>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提供已缴纳的2025年</w:t>
      </w:r>
      <w:r>
        <w:rPr>
          <w:rFonts w:hint="eastAsia" w:hAnsi="宋体" w:cs="宋体"/>
          <w:sz w:val="21"/>
          <w:szCs w:val="21"/>
          <w:lang w:val="en-US" w:eastAsia="zh-CN"/>
        </w:rPr>
        <w:t>9</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5283"/>
      <w:bookmarkStart w:id="32" w:name="_Toc23064"/>
      <w:bookmarkStart w:id="33" w:name="_Toc1891"/>
      <w:bookmarkStart w:id="34" w:name="_Toc7176"/>
      <w:bookmarkStart w:id="35" w:name="_Toc17953"/>
      <w:bookmarkStart w:id="36" w:name="_Toc12644"/>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w:t>
      </w:r>
      <w:r>
        <w:rPr>
          <w:rFonts w:hAnsi="宋体" w:cs="宋体"/>
          <w:sz w:val="21"/>
          <w:szCs w:val="21"/>
        </w:rPr>
        <w:t xml:space="preserve"> 2025年</w:t>
      </w:r>
      <w:r>
        <w:rPr>
          <w:rFonts w:hint="eastAsia" w:hAnsi="宋体" w:cs="宋体"/>
          <w:sz w:val="21"/>
          <w:szCs w:val="21"/>
          <w:lang w:val="en-US" w:eastAsia="zh-CN"/>
        </w:rPr>
        <w:t>9</w:t>
      </w:r>
      <w:r>
        <w:rPr>
          <w:rFonts w:hAnsi="宋体" w:cs="宋体"/>
          <w:sz w:val="21"/>
          <w:szCs w:val="21"/>
        </w:rPr>
        <w:t>月1日</w:t>
      </w:r>
      <w:r>
        <w:rPr>
          <w:rFonts w:hint="eastAsia" w:hAnsi="宋体" w:cs="宋体"/>
          <w:sz w:val="21"/>
          <w:szCs w:val="21"/>
          <w:lang w:val="en-US" w:eastAsia="zh-CN"/>
        </w:rPr>
        <w:t>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bidi w:val="0"/>
        <w:rPr>
          <w:rFonts w:hint="eastAsia"/>
        </w:rPr>
      </w:pPr>
      <w:bookmarkStart w:id="37" w:name="_Toc21012"/>
      <w:bookmarkStart w:id="38" w:name="_Toc19859"/>
      <w:bookmarkStart w:id="39" w:name="_Toc24182"/>
    </w:p>
    <w:p>
      <w:pPr>
        <w:pStyle w:val="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spacing w:line="360" w:lineRule="auto"/>
        <w:ind w:firstLine="3131" w:firstLineChars="1491"/>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spacing w:line="360" w:lineRule="auto"/>
        <w:rPr>
          <w:rFonts w:hAnsi="宋体" w:cs="宋体"/>
          <w:bCs/>
          <w:sz w:val="21"/>
          <w:szCs w:val="21"/>
        </w:rPr>
      </w:pPr>
    </w:p>
    <w:p>
      <w:pPr>
        <w:spacing w:line="360" w:lineRule="auto"/>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pPr>
    </w:p>
    <w:p>
      <w:pPr>
        <w:spacing w:line="360" w:lineRule="auto"/>
        <w:jc w:val="center"/>
        <w:outlineLvl w:val="2"/>
        <w:rPr>
          <w:rFonts w:hAnsi="宋体" w:cs="宋体"/>
          <w:b/>
          <w:sz w:val="21"/>
          <w:szCs w:val="21"/>
        </w:rPr>
      </w:pPr>
      <w:bookmarkStart w:id="40" w:name="_Toc31742"/>
      <w:bookmarkStart w:id="41" w:name="_Toc18948"/>
      <w:bookmarkStart w:id="42" w:name="_Toc10898"/>
      <w:bookmarkStart w:id="43" w:name="_Toc25944"/>
      <w:bookmarkStart w:id="44" w:name="_Toc8455"/>
      <w:bookmarkStart w:id="45" w:name="_Toc1093"/>
      <w:bookmarkStart w:id="46" w:name="_Toc23846"/>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p>
      <w:pPr>
        <w:spacing w:line="360" w:lineRule="auto"/>
        <w:ind w:firstLine="3360" w:firstLineChars="16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360" w:firstLineChars="16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autoSpaceDE w:val="0"/>
        <w:autoSpaceDN w:val="0"/>
        <w:adjustRightInd w:val="0"/>
        <w:spacing w:line="360" w:lineRule="auto"/>
        <w:ind w:firstLine="3360" w:firstLineChars="1600"/>
        <w:rPr>
          <w:rFonts w:hAnsi="宋体" w:cs="宋体"/>
          <w:sz w:val="21"/>
          <w:szCs w:val="21"/>
        </w:rPr>
      </w:pPr>
      <w:r>
        <w:rPr>
          <w:rFonts w:hint="eastAsia" w:hAnsi="宋体" w:cs="宋体"/>
          <w:sz w:val="21"/>
          <w:szCs w:val="21"/>
        </w:rPr>
        <w:t>日    期：</w:t>
      </w:r>
      <w:r>
        <w:rPr>
          <w:rFonts w:hint="eastAsia" w:hAnsi="宋体" w:cs="宋体"/>
          <w:sz w:val="21"/>
          <w:szCs w:val="21"/>
          <w:u w:val="single"/>
        </w:rPr>
        <w:t xml:space="preserve">                                    </w:t>
      </w:r>
      <w:bookmarkEnd w:id="19"/>
      <w:bookmarkEnd w:id="47"/>
    </w:p>
    <w:bookmarkEnd w:id="20"/>
    <w:bookmarkEnd w:id="21"/>
    <w:bookmarkEnd w:id="22"/>
    <w:bookmarkEnd w:id="23"/>
    <w:bookmarkEnd w:id="24"/>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10275"/>
      <w:bookmarkStart w:id="49" w:name="_Toc1010"/>
      <w:bookmarkStart w:id="50" w:name="_Toc6501"/>
      <w:bookmarkStart w:id="51" w:name="_Toc28784"/>
      <w:bookmarkStart w:id="52" w:name="_Toc17057"/>
      <w:bookmarkStart w:id="53" w:name="_Toc3871"/>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1610"/>
      <w:bookmarkStart w:id="55" w:name="_Toc495681252"/>
      <w:bookmarkStart w:id="56" w:name="_Toc495908048"/>
      <w:bookmarkStart w:id="57" w:name="_Toc32662"/>
      <w:bookmarkStart w:id="58" w:name="_Toc495681406"/>
      <w:bookmarkStart w:id="59" w:name="_Toc495671263"/>
      <w:bookmarkStart w:id="60" w:name="_Toc495681533"/>
      <w:bookmarkStart w:id="61" w:name="_Toc18742"/>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2"/>
              <w:rPr>
                <w:b w:val="0"/>
                <w:color w:val="auto"/>
                <w:sz w:val="21"/>
                <w:szCs w:val="21"/>
                <w:lang w:val="zh-CN"/>
              </w:rPr>
            </w:pPr>
            <w:r>
              <w:rPr>
                <w:rFonts w:hint="eastAsia"/>
                <w:lang w:val="zh-CN"/>
              </w:rPr>
              <w:t xml:space="preserve">         </w:t>
            </w:r>
          </w:p>
          <w:p>
            <w:pPr>
              <w:pStyle w:val="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2"/>
              <w:rPr>
                <w:lang w:val="zh-CN"/>
              </w:rPr>
            </w:pPr>
            <w:r>
              <w:rPr>
                <w:rFonts w:hint="eastAsia"/>
                <w:lang w:val="zh-CN"/>
              </w:rPr>
              <w:t xml:space="preserve">        </w:t>
            </w:r>
          </w:p>
          <w:p>
            <w:pPr>
              <w:pStyle w:val="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spacing w:line="360" w:lineRule="auto"/>
        <w:ind w:firstLine="3131" w:firstLineChars="1491"/>
        <w:rPr>
          <w:rFonts w:hAnsi="宋体" w:cs="宋体"/>
          <w:sz w:val="21"/>
          <w:szCs w:val="21"/>
        </w:rPr>
      </w:pPr>
      <w:bookmarkStart w:id="62" w:name="_Toc495671264"/>
      <w:bookmarkStart w:id="63" w:name="_Toc18921"/>
      <w:bookmarkStart w:id="64" w:name="_Toc495681407"/>
      <w:bookmarkStart w:id="65" w:name="_Toc495681253"/>
      <w:bookmarkStart w:id="66" w:name="_Toc495908049"/>
      <w:bookmarkStart w:id="67" w:name="_Toc495681534"/>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131" w:firstLineChars="1491"/>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ageBreakBefore/>
        <w:adjustRightInd w:val="0"/>
        <w:snapToGrid w:val="0"/>
        <w:spacing w:line="360" w:lineRule="auto"/>
        <w:jc w:val="center"/>
        <w:outlineLvl w:val="3"/>
        <w:rPr>
          <w:rFonts w:hAnsi="宋体" w:cs="宋体"/>
          <w:b/>
          <w:sz w:val="21"/>
          <w:szCs w:val="21"/>
        </w:rPr>
      </w:pPr>
      <w:bookmarkStart w:id="68" w:name="_Toc29369"/>
      <w:bookmarkStart w:id="69" w:name="_Toc32169"/>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rPr>
        <w:t>陕西瀚海昱源企业管理咨询有限公司：</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7"/>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7"/>
        <w:rPr>
          <w:rFonts w:hAnsi="宋体" w:cs="宋体"/>
          <w:sz w:val="21"/>
          <w:szCs w:val="21"/>
        </w:rPr>
      </w:pPr>
    </w:p>
    <w:tbl>
      <w:tblPr>
        <w:tblStyle w:val="10"/>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9"/>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spacing w:line="360" w:lineRule="auto"/>
        <w:ind w:firstLine="3570" w:firstLineChars="1700"/>
        <w:rPr>
          <w:rFonts w:hAnsi="宋体" w:cs="宋体"/>
          <w:sz w:val="21"/>
          <w:szCs w:val="21"/>
        </w:rPr>
      </w:pPr>
      <w:r>
        <w:rPr>
          <w:rFonts w:hint="eastAsia" w:hAnsi="宋体" w:cs="宋体"/>
          <w:sz w:val="21"/>
          <w:szCs w:val="21"/>
        </w:rPr>
        <w:t>投标人（公章）：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法定代表人或授权代表（签字或盖章）：</w:t>
      </w:r>
      <w:r>
        <w:rPr>
          <w:rFonts w:hint="eastAsia" w:hAnsi="宋体" w:cs="宋体"/>
          <w:sz w:val="21"/>
          <w:szCs w:val="21"/>
          <w:u w:val="single"/>
        </w:rPr>
        <w:t xml:space="preserve">     </w:t>
      </w:r>
    </w:p>
    <w:p>
      <w:pPr>
        <w:spacing w:line="360" w:lineRule="auto"/>
        <w:ind w:firstLine="3570" w:firstLineChars="1700"/>
        <w:rPr>
          <w:rFonts w:hAnsi="宋体" w:cs="宋体"/>
          <w:sz w:val="21"/>
          <w:szCs w:val="21"/>
          <w:u w:val="single"/>
        </w:rPr>
      </w:pPr>
      <w:r>
        <w:rPr>
          <w:rFonts w:hint="eastAsia" w:hAnsi="宋体" w:cs="宋体"/>
          <w:sz w:val="21"/>
          <w:szCs w:val="21"/>
        </w:rPr>
        <w:t>日    期：</w:t>
      </w:r>
      <w:r>
        <w:rPr>
          <w:rFonts w:hint="eastAsia" w:hAnsi="宋体" w:cs="宋体"/>
          <w:sz w:val="21"/>
          <w:szCs w:val="21"/>
          <w:u w:val="single"/>
        </w:rPr>
        <w:t xml:space="preserve">                               </w:t>
      </w:r>
    </w:p>
    <w:p>
      <w:pPr>
        <w:pStyle w:val="4"/>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int="eastAsia" w:hAnsi="宋体" w:cs="宋体"/>
          <w:sz w:val="21"/>
          <w:szCs w:val="21"/>
        </w:rPr>
      </w:pPr>
      <w:bookmarkStart w:id="70" w:name="_Toc25082"/>
      <w:bookmarkStart w:id="71" w:name="_Toc10643"/>
      <w:bookmarkStart w:id="72" w:name="_Toc10845"/>
      <w:r>
        <w:rPr>
          <w:rFonts w:hint="eastAsia" w:hAnsi="宋体" w:cs="宋体"/>
          <w:sz w:val="21"/>
          <w:szCs w:val="21"/>
        </w:rPr>
        <w:t>格式自拟</w:t>
      </w: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center"/>
        <w:rPr>
          <w:rFonts w:hint="eastAsia" w:hAnsi="宋体" w:cs="宋体" w:asciiTheme="minorHAnsi" w:eastAsiaTheme="minorEastAsia"/>
          <w:b/>
          <w:color w:val="auto"/>
          <w:kern w:val="2"/>
          <w:sz w:val="21"/>
          <w:szCs w:val="21"/>
          <w:lang w:val="en-US" w:eastAsia="zh-CN" w:bidi="ar-SA"/>
        </w:rPr>
      </w:pPr>
    </w:p>
    <w:p>
      <w:pPr>
        <w:pStyle w:val="2"/>
        <w:jc w:val="both"/>
        <w:rPr>
          <w:rFonts w:hint="eastAsia" w:hAnsi="宋体" w:cs="宋体" w:asciiTheme="minorHAnsi" w:eastAsiaTheme="minorEastAsia"/>
          <w:b/>
          <w:color w:val="auto"/>
          <w:kern w:val="2"/>
          <w:sz w:val="21"/>
          <w:szCs w:val="21"/>
          <w:lang w:val="en-US" w:eastAsia="zh-CN" w:bidi="ar-SA"/>
        </w:rPr>
      </w:pPr>
    </w:p>
    <w:p>
      <w:pPr>
        <w:rPr>
          <w:rFonts w:hint="eastAsia" w:hAnsi="宋体" w:cs="宋体" w:asciiTheme="minorHAnsi" w:eastAsiaTheme="minorEastAsia"/>
          <w:b/>
          <w:color w:val="auto"/>
          <w:kern w:val="2"/>
          <w:sz w:val="21"/>
          <w:szCs w:val="21"/>
          <w:lang w:val="en-US" w:eastAsia="zh-CN" w:bidi="ar-SA"/>
        </w:rPr>
      </w:pPr>
    </w:p>
    <w:p>
      <w:pPr>
        <w:pStyle w:val="2"/>
        <w:rPr>
          <w:rFonts w:hint="eastAsia"/>
          <w:lang w:val="en-US" w:eastAsia="zh-CN"/>
        </w:rPr>
      </w:pPr>
    </w:p>
    <w:p>
      <w:pPr>
        <w:pStyle w:val="2"/>
        <w:jc w:val="both"/>
        <w:rPr>
          <w:rFonts w:hint="eastAsia" w:hAnsi="宋体" w:cs="宋体" w:asciiTheme="minorHAnsi" w:eastAsiaTheme="minorEastAsia"/>
          <w:b/>
          <w:color w:val="auto"/>
          <w:kern w:val="2"/>
          <w:sz w:val="21"/>
          <w:szCs w:val="21"/>
          <w:lang w:val="en-US" w:eastAsia="zh-CN" w:bidi="ar-SA"/>
        </w:rPr>
      </w:pPr>
    </w:p>
    <w:p>
      <w:pPr>
        <w:rPr>
          <w:rFonts w:hint="eastAsia"/>
          <w:lang w:val="en-US" w:eastAsia="zh-CN"/>
        </w:rPr>
      </w:pPr>
    </w:p>
    <w:p>
      <w:pPr>
        <w:adjustRightInd w:val="0"/>
        <w:snapToGrid w:val="0"/>
        <w:spacing w:line="360" w:lineRule="auto"/>
        <w:jc w:val="center"/>
        <w:outlineLvl w:val="2"/>
        <w:rPr>
          <w:rFonts w:hAnsi="宋体" w:cs="宋体"/>
          <w:b/>
          <w:sz w:val="21"/>
          <w:szCs w:val="21"/>
          <w:lang w:val="zh-CN"/>
        </w:rPr>
      </w:pPr>
      <w:bookmarkStart w:id="73" w:name="_Toc29"/>
      <w:bookmarkStart w:id="74" w:name="_Toc30526"/>
      <w:bookmarkStart w:id="75" w:name="_Toc20361"/>
    </w:p>
    <w:p>
      <w:pPr>
        <w:adjustRightInd w:val="0"/>
        <w:snapToGrid w:val="0"/>
        <w:spacing w:line="360" w:lineRule="auto"/>
        <w:jc w:val="both"/>
        <w:outlineLvl w:val="2"/>
        <w:rPr>
          <w:rFonts w:hAnsi="宋体" w:cs="宋体"/>
          <w:b/>
          <w:sz w:val="21"/>
          <w:szCs w:val="21"/>
          <w:lang w:val="zh-CN"/>
        </w:rPr>
      </w:pPr>
    </w:p>
    <w:bookmarkEnd w:id="70"/>
    <w:bookmarkEnd w:id="71"/>
    <w:bookmarkEnd w:id="72"/>
    <w:bookmarkEnd w:id="73"/>
    <w:bookmarkEnd w:id="74"/>
    <w:bookmarkEnd w:id="75"/>
    <w:p>
      <w:pPr>
        <w:adjustRightInd w:val="0"/>
        <w:snapToGrid w:val="0"/>
        <w:spacing w:line="360" w:lineRule="auto"/>
        <w:jc w:val="center"/>
        <w:outlineLvl w:val="2"/>
        <w:rPr>
          <w:rFonts w:hint="eastAsia" w:hAnsi="宋体" w:cs="宋体"/>
          <w:b/>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077E49"/>
    <w:rsid w:val="054461F7"/>
    <w:rsid w:val="063E3EB1"/>
    <w:rsid w:val="066F6C08"/>
    <w:rsid w:val="17B93114"/>
    <w:rsid w:val="18040E4A"/>
    <w:rsid w:val="1FB00ACC"/>
    <w:rsid w:val="200A1D5E"/>
    <w:rsid w:val="242104E5"/>
    <w:rsid w:val="244D4AED"/>
    <w:rsid w:val="249130DC"/>
    <w:rsid w:val="292224D7"/>
    <w:rsid w:val="2A523030"/>
    <w:rsid w:val="2CF15B58"/>
    <w:rsid w:val="2D311246"/>
    <w:rsid w:val="32CD047A"/>
    <w:rsid w:val="358B565D"/>
    <w:rsid w:val="35F74D3A"/>
    <w:rsid w:val="387E21FF"/>
    <w:rsid w:val="39891269"/>
    <w:rsid w:val="3EA94B38"/>
    <w:rsid w:val="3F1F3112"/>
    <w:rsid w:val="42516692"/>
    <w:rsid w:val="42F20403"/>
    <w:rsid w:val="496200DD"/>
    <w:rsid w:val="4C241CEC"/>
    <w:rsid w:val="4D200F2C"/>
    <w:rsid w:val="50EC0C3B"/>
    <w:rsid w:val="51904A82"/>
    <w:rsid w:val="51A25BE9"/>
    <w:rsid w:val="5B017815"/>
    <w:rsid w:val="5EA366B8"/>
    <w:rsid w:val="60B151DC"/>
    <w:rsid w:val="61633229"/>
    <w:rsid w:val="63DB2C58"/>
    <w:rsid w:val="65374930"/>
    <w:rsid w:val="67CA6AD6"/>
    <w:rsid w:val="6EDB35F4"/>
    <w:rsid w:val="6F500BEB"/>
    <w:rsid w:val="71AE01A6"/>
    <w:rsid w:val="74A51B4C"/>
    <w:rsid w:val="76D65A54"/>
    <w:rsid w:val="784E294A"/>
    <w:rsid w:val="798B4769"/>
    <w:rsid w:val="7C496088"/>
    <w:rsid w:val="7C631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jc w:val="center"/>
      <w:outlineLvl w:val="0"/>
    </w:pPr>
    <w:rPr>
      <w:b/>
      <w:kern w:val="44"/>
      <w:sz w:val="36"/>
      <w:szCs w:val="36"/>
    </w:rPr>
  </w:style>
  <w:style w:type="paragraph" w:styleId="4">
    <w:name w:val="heading 2"/>
    <w:basedOn w:val="1"/>
    <w:next w:val="1"/>
    <w:qFormat/>
    <w:uiPriority w:val="0"/>
    <w:pPr>
      <w:keepNext/>
      <w:keepLines/>
      <w:jc w:val="left"/>
      <w:outlineLvl w:val="1"/>
    </w:pPr>
    <w:rPr>
      <w:rFonts w:hAnsi="宋体"/>
      <w:b/>
      <w:sz w:val="32"/>
    </w:rPr>
  </w:style>
  <w:style w:type="character" w:default="1" w:styleId="11">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customStyle="1" w:styleId="2">
    <w:name w:val="_Style 3"/>
    <w:basedOn w:val="3"/>
    <w:next w:val="1"/>
    <w:qFormat/>
    <w:uiPriority w:val="0"/>
    <w:pPr>
      <w:keepLines w:val="0"/>
      <w:widowControl/>
      <w:spacing w:line="256" w:lineRule="auto"/>
      <w:jc w:val="left"/>
    </w:pPr>
    <w:rPr>
      <w:rFonts w:ascii="Calibri Light" w:hAnsi="Calibri Light"/>
      <w:color w:val="2E74B5"/>
      <w:kern w:val="0"/>
      <w:sz w:val="32"/>
      <w:szCs w:val="32"/>
    </w:rPr>
  </w:style>
  <w:style w:type="paragraph" w:styleId="5">
    <w:name w:val="Body Text"/>
    <w:basedOn w:val="1"/>
    <w:next w:val="1"/>
    <w:qFormat/>
    <w:uiPriority w:val="0"/>
    <w:pPr>
      <w:spacing w:after="120"/>
    </w:pPr>
    <w:rPr>
      <w:rFonts w:ascii="Times New Roman"/>
      <w:kern w:val="2"/>
      <w:sz w:val="21"/>
    </w:rPr>
  </w:style>
  <w:style w:type="paragraph" w:styleId="6">
    <w:name w:val="Plain Text"/>
    <w:basedOn w:val="1"/>
    <w:qFormat/>
    <w:uiPriority w:val="0"/>
    <w:rPr>
      <w:rFonts w:hAnsi="Courier New" w:cs="Courier New"/>
      <w:szCs w:val="21"/>
    </w:rPr>
  </w:style>
  <w:style w:type="paragraph" w:styleId="7">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Body Text First Indent"/>
    <w:basedOn w:val="5"/>
    <w:next w:val="1"/>
    <w:unhideWhenUsed/>
    <w:qFormat/>
    <w:uiPriority w:val="99"/>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2026-03-12T04:19:25Z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