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版本号：SXZCZB2026-ZCCS-032520260316001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参加第六届海口国际消费品博览会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SXZCZB2026-ZCCS-0325</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参加第六届海口国际消费品博览会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SXZCZB2026-ZCCS-0325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参加第六届海口国际消费品博览会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六届中国国际消费品博览会（以下简称消博会）将于4月13日至18日在海口国际会展中心举办，为借力消博会平台，拓宽西安名优消费品销售渠道，助力西安品牌走出去，按照全省统一部署，我市拟组织2026消博会陕西省代表团西安市分团赴海口参会参展，配合省厅做好第六届消博会的相关工作，组织消费引领能力强的优质企业参展参会；同时在海口市骑楼老街景区以“购在中国.长安有礼”为主题举办西安市名优消费品（海口）展销活动，遴选20余家企业参加西安市名优消费品展销活动，与省厅在海口亚特酒店共同举办西安市名优消费品（海口）推介会，拟委托服务商在规定服务期限内完成2026年西安市名优消费品展销及推介活动的策划设计、场地租赁、会场及展销区搭建、布置及相关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采购包1（参加第六届海口国际消费品博览会）：属于专门面向中小企业采购。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附法定代表人、被授权人身份证复印件、被授权人本单位养老保险缴纳证明或劳动合同），法定代表人直接参加投标，须提供法定代表人身份证明及身份证复印件）；</w:t>
      </w:r>
    </w:p>
    <w:p>
      <w:pPr>
        <w:pStyle w:val="null3"/>
      </w:pPr>
      <w:r>
        <w:rPr>
          <w:rFonts w:ascii="仿宋_GB2312" w:hAnsi="仿宋_GB2312" w:cs="仿宋_GB2312" w:eastAsia="仿宋_GB2312"/>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4、税收缴纳证明：提供2025年6月至今任意一个月的纳税证明或完税证明（任意税种），依法免税的单位应提供相关证明材料；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5、社会保障资金缴纳证明：提供2025年6月至今至少一个月的社会保障资金缴存单据或社保机构开具的社会保险参保缴费情况证明，依法不需要缴纳社会保障资金的单位应提供相关证明材料；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9、中小企业声明函：供应商须提供中小企业声明函；</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11、非联合体磋商（提供承诺书）：本项目不接受联合体磋商（提供承诺书）。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黄文娟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六届中国国际消费品博览会（以下简称消博会）将于4月13日至18日在海口国际会展中心举办，为借力消博会平台，拓宽西安名优消费品销售渠道，助力西安品牌走出去，按照全省统一部署，我市拟组织2026消博会陕西省代表团西安市分团赴海口参会参展，配合省厅做好第六届消博会的相关工作，组织消费引领能力强的优质企业参展参会；同时在海口市骑楼老街景区以“购在中国.长安有礼”为主题举办西安市名优消费品（海口）展销活动，遴选20余家企业参加西安市名优消费品展销活动，与省厅在海口亚特酒店共同举办西安市名优消费品（海口）推介会，拟委托服务商在规定服务期限内完成2026年西安市名优消费品展销及推介活动的策划设计、场地租赁、会场及展销区搭建、布置及相关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第六届海口国际消费品博览会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标的名称：第六届海口国际消费品博览会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第六届中国国际消费品博览会（以下简称消博会）将于4月13日至18日在海口国际会展中心举办，为借力消博会平台，拓宽西安名优消费品销售渠道，助力西安品牌走出去，按照全省统一部署，我市拟组织2026消博会陕西省代表团西安市分团赴海口参会参展，配合省厅做好第六届消博会的相关工作，组织消费引领能力强的优质企业参展参会；同时在海口市骑楼老街景区以“购在中国.长安有礼”为主题举办西安市名优消费品（海口）展销活动，遴选20余家企业参加西安市名优消费品展销活动，与省厅在海口亚特酒店共同举办西安市名优消费品（海口）推介会，拟委托服务商在规定服务期限内完成2026年西安市名优消费品展销及推介活动的策划设计、场地租赁、会场及展销区搭建、布置及相关服务等。</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2026西安市名优消费品（海口）展销及推介活动，拟于2026年4月12日至14日在海南省海口市举办，活动坚持环保、简约、大方原则，突出西安消费精品与人文特色，集中展示我市智能制造、文创、老字号等多领域“高、新、优、特”消费品，进一步扩大西安品牌影响力，助力企业对接全球资源、拓宽海外市场、提升城市文化软实力；同时引入国际优质商品与前沿消费理念，丰富本地消费供给、激发消费活力、扩大消费规模，为西安经济高质量发展注入强劲动力。活动主要包括一是4月12日-14日在海口市骑楼老街景区举办为期3天的西安市名优消费品（海口）展销活动，组织我市20家左右名优消费品企业开展展示、宣传与销售；二是4月14日上午在海口市洲至奢选海口亚特酒店举办西安市名优消费品（海口）专场推介会。服务内容主要包括：</w:t>
            </w:r>
          </w:p>
          <w:p>
            <w:pPr>
              <w:pStyle w:val="null3"/>
            </w:pPr>
            <w:r>
              <w:rPr>
                <w:rFonts w:ascii="仿宋_GB2312" w:hAnsi="仿宋_GB2312" w:cs="仿宋_GB2312" w:eastAsia="仿宋_GB2312"/>
              </w:rPr>
              <w:t>（一）展销活动服务内容（骑楼老街景区）</w:t>
            </w:r>
          </w:p>
          <w:p>
            <w:pPr>
              <w:pStyle w:val="null3"/>
            </w:pPr>
            <w:r>
              <w:rPr>
                <w:rFonts w:ascii="仿宋_GB2312" w:hAnsi="仿宋_GB2312" w:cs="仿宋_GB2312" w:eastAsia="仿宋_GB2312"/>
              </w:rPr>
              <w:t>整体策划设计服务：围绕“购在中国.长安有礼”活动主题，负责展销活动整体策划、视觉设计、展区布局规划、展示动线设计，在骑楼老街打造唐风消费场景与沉浸式体验区，结合展销产品，营造主题鲜明、文化氛围浓厚的展销氛围；</w:t>
            </w:r>
          </w:p>
          <w:p>
            <w:pPr>
              <w:pStyle w:val="null3"/>
            </w:pPr>
            <w:r>
              <w:rPr>
                <w:rFonts w:ascii="仿宋_GB2312" w:hAnsi="仿宋_GB2312" w:cs="仿宋_GB2312" w:eastAsia="仿宋_GB2312"/>
              </w:rPr>
              <w:t>场地与设备保障：负责展销区域场地租赁、搭建、氛围营造、物料制作安装；提供LED大屏、音响、视频、灯光等设备及技术保障；</w:t>
            </w:r>
          </w:p>
          <w:p>
            <w:pPr>
              <w:pStyle w:val="null3"/>
            </w:pPr>
            <w:r>
              <w:rPr>
                <w:rFonts w:ascii="仿宋_GB2312" w:hAnsi="仿宋_GB2312" w:cs="仿宋_GB2312" w:eastAsia="仿宋_GB2312"/>
              </w:rPr>
              <w:t>会务综合服务：负责组织布展、展销现场秩序维护、直播宣传、安保、保洁、配套服务等全流程保障，确保展销活动安全有序、顺畅运行。</w:t>
            </w:r>
          </w:p>
          <w:p>
            <w:pPr>
              <w:pStyle w:val="null3"/>
            </w:pPr>
            <w:r>
              <w:rPr>
                <w:rFonts w:ascii="仿宋_GB2312" w:hAnsi="仿宋_GB2312" w:cs="仿宋_GB2312" w:eastAsia="仿宋_GB2312"/>
              </w:rPr>
              <w:t>（二）推介会服务内容（亚特酒店）</w:t>
            </w:r>
          </w:p>
          <w:p>
            <w:pPr>
              <w:pStyle w:val="null3"/>
            </w:pPr>
            <w:r>
              <w:rPr>
                <w:rFonts w:ascii="仿宋_GB2312" w:hAnsi="仿宋_GB2312" w:cs="仿宋_GB2312" w:eastAsia="仿宋_GB2312"/>
              </w:rPr>
              <w:t>整体策划设计服务：负责推介会整体策划、视觉设计、会场布局设计、流程规划等。</w:t>
            </w:r>
          </w:p>
          <w:p>
            <w:pPr>
              <w:pStyle w:val="null3"/>
            </w:pPr>
            <w:r>
              <w:rPr>
                <w:rFonts w:ascii="仿宋_GB2312" w:hAnsi="仿宋_GB2312" w:cs="仿宋_GB2312" w:eastAsia="仿宋_GB2312"/>
              </w:rPr>
              <w:t>场地搭建与设备保障（推介会场地费用由省商务厅承担）：负责推介会场搭建、氛围营造、物料制作安装；提供LED大屏、音响、视频、灯光等设备及技术保障。</w:t>
            </w:r>
          </w:p>
          <w:p>
            <w:pPr>
              <w:pStyle w:val="null3"/>
            </w:pPr>
            <w:r>
              <w:rPr>
                <w:rFonts w:ascii="仿宋_GB2312" w:hAnsi="仿宋_GB2312" w:cs="仿宋_GB2312" w:eastAsia="仿宋_GB2312"/>
              </w:rPr>
              <w:t>会务综合服务：负责推介会主持、礼仪、直播宣传、安保、保洁、现场统筹等全流程会务保障，确保推介会圆满顺利、专业规范。</w:t>
            </w:r>
          </w:p>
          <w:p>
            <w:pPr>
              <w:pStyle w:val="null3"/>
            </w:pPr>
            <w:r>
              <w:rPr>
                <w:rFonts w:ascii="仿宋_GB2312" w:hAnsi="仿宋_GB2312" w:cs="仿宋_GB2312" w:eastAsia="仿宋_GB2312"/>
              </w:rPr>
              <w:t>三、技术要求（如有，一般适合于技术服务项目）</w:t>
            </w:r>
          </w:p>
          <w:p>
            <w:pPr>
              <w:pStyle w:val="null3"/>
            </w:pPr>
            <w:r>
              <w:rPr>
                <w:rFonts w:ascii="仿宋_GB2312" w:hAnsi="仿宋_GB2312" w:cs="仿宋_GB2312" w:eastAsia="仿宋_GB2312"/>
              </w:rPr>
              <w:t>1.紧扣 “购在中国 长安有礼”主题，策划骑楼老街展销及亚特酒店推介会活动，涵盖流程方案、主视觉设计、宣传推广及安全应急预案。</w:t>
            </w:r>
          </w:p>
          <w:p>
            <w:pPr>
              <w:pStyle w:val="null3"/>
            </w:pPr>
            <w:r>
              <w:rPr>
                <w:rFonts w:ascii="仿宋_GB2312" w:hAnsi="仿宋_GB2312" w:cs="仿宋_GB2312" w:eastAsia="仿宋_GB2312"/>
              </w:rPr>
              <w:t>2.负责展销区域及推介会场的搭建布展，结合参展产品充分彰显西安消费特色与人文底蕴，在骑楼老街展销区打造唐风消费场景与沉浸式体验区，在展区内合理设置1—2处唐风主题打卡点，增强互动体验与宣传传播效果，配备定制舞台、高清LED大屏、控台处理器、线阵音响、高级灯光系统等专业设备。</w:t>
            </w:r>
          </w:p>
          <w:p>
            <w:pPr>
              <w:pStyle w:val="null3"/>
            </w:pPr>
            <w:r>
              <w:rPr>
                <w:rFonts w:ascii="仿宋_GB2312" w:hAnsi="仿宋_GB2312" w:cs="仿宋_GB2312" w:eastAsia="仿宋_GB2312"/>
              </w:rPr>
              <w:t>3.精心设计制作展销区域及推介会场内外氛围营造物料，确保所有宣传物料与整体视觉风格统一、制作工艺精细、呈现效果美观。</w:t>
            </w:r>
          </w:p>
          <w:p>
            <w:pPr>
              <w:pStyle w:val="null3"/>
            </w:pPr>
            <w:r>
              <w:rPr>
                <w:rFonts w:ascii="仿宋_GB2312" w:hAnsi="仿宋_GB2312" w:cs="仿宋_GB2312" w:eastAsia="仿宋_GB2312"/>
              </w:rPr>
              <w:t>4.制定完善的现场服务保障方案，根据活动需求配置主持人、礼仪、演员、安保、保洁等相关工作人员。</w:t>
            </w:r>
          </w:p>
          <w:p>
            <w:pPr>
              <w:pStyle w:val="null3"/>
            </w:pPr>
            <w:r>
              <w:rPr>
                <w:rFonts w:ascii="仿宋_GB2312" w:hAnsi="仿宋_GB2312" w:cs="仿宋_GB2312" w:eastAsia="仿宋_GB2312"/>
              </w:rPr>
              <w:t>四、服务要求（如对人员配置、专业设备、服务标准等）</w:t>
            </w:r>
          </w:p>
          <w:p>
            <w:pPr>
              <w:pStyle w:val="null3"/>
            </w:pPr>
            <w:r>
              <w:rPr>
                <w:rFonts w:ascii="仿宋_GB2312" w:hAnsi="仿宋_GB2312" w:cs="仿宋_GB2312" w:eastAsia="仿宋_GB2312"/>
              </w:rPr>
              <w:t>1. 按时完成2026西安市名优消费品（海口）展销及推介活动整体策划与设计，及时提交采购人审核，并按修改意见调整完善至认可。</w:t>
            </w:r>
          </w:p>
          <w:p>
            <w:pPr>
              <w:pStyle w:val="null3"/>
            </w:pPr>
            <w:r>
              <w:rPr>
                <w:rFonts w:ascii="仿宋_GB2312" w:hAnsi="仿宋_GB2312" w:cs="仿宋_GB2312" w:eastAsia="仿宋_GB2312"/>
              </w:rPr>
              <w:t>2. 活动全程安排专人驻场统筹协调，严格按照既定方案执行，保障展示呈现、现场秩序与活动效果。</w:t>
            </w:r>
          </w:p>
          <w:p>
            <w:pPr>
              <w:pStyle w:val="null3"/>
            </w:pPr>
            <w:r>
              <w:rPr>
                <w:rFonts w:ascii="仿宋_GB2312" w:hAnsi="仿宋_GB2312" w:cs="仿宋_GB2312" w:eastAsia="仿宋_GB2312"/>
              </w:rPr>
              <w:t>3.采购一口价，包涵展销活动场地租赁（推介会场地租赁由省商务厅承担）、活动策划、搭建施工、设备租赁、会务服务、物料制作、印刷、运输、安装、人工、税金等所有成本。</w:t>
            </w:r>
          </w:p>
          <w:p>
            <w:pPr>
              <w:pStyle w:val="null3"/>
            </w:pPr>
            <w:r>
              <w:rPr>
                <w:rFonts w:ascii="仿宋_GB2312" w:hAnsi="仿宋_GB2312" w:cs="仿宋_GB2312" w:eastAsia="仿宋_GB2312"/>
              </w:rPr>
              <w:t xml:space="preserve"> 4.制定应急预案，严守安保消防规定，按时保质完成活动各项任务，确保声光电影音设备正常、会议及宣发效果达标。</w:t>
            </w:r>
          </w:p>
          <w:p>
            <w:pPr>
              <w:pStyle w:val="null3"/>
            </w:pPr>
            <w:r>
              <w:rPr>
                <w:rFonts w:ascii="仿宋_GB2312" w:hAnsi="仿宋_GB2312" w:cs="仿宋_GB2312" w:eastAsia="仿宋_GB2312"/>
              </w:rPr>
              <w:t>五、商务要求（如服务期限、款项结算等）</w:t>
            </w:r>
          </w:p>
          <w:p>
            <w:pPr>
              <w:pStyle w:val="null3"/>
            </w:pPr>
            <w:r>
              <w:rPr>
                <w:rFonts w:ascii="仿宋_GB2312" w:hAnsi="仿宋_GB2312" w:cs="仿宋_GB2312" w:eastAsia="仿宋_GB2312"/>
              </w:rPr>
              <w:t>（一）服务期限：合同签订之日起至项目结束</w:t>
            </w:r>
          </w:p>
          <w:p>
            <w:pPr>
              <w:pStyle w:val="null3"/>
            </w:pPr>
            <w:r>
              <w:rPr>
                <w:rFonts w:ascii="仿宋_GB2312" w:hAnsi="仿宋_GB2312" w:cs="仿宋_GB2312" w:eastAsia="仿宋_GB2312"/>
              </w:rPr>
              <w:t>1.展销区搭建时间2026年4月10日-11日</w:t>
            </w:r>
          </w:p>
          <w:p>
            <w:pPr>
              <w:pStyle w:val="null3"/>
            </w:pPr>
            <w:r>
              <w:rPr>
                <w:rFonts w:ascii="仿宋_GB2312" w:hAnsi="仿宋_GB2312" w:cs="仿宋_GB2312" w:eastAsia="仿宋_GB2312"/>
              </w:rPr>
              <w:t xml:space="preserve">          展销时间2026年4月12日-14日</w:t>
            </w:r>
          </w:p>
          <w:p>
            <w:pPr>
              <w:pStyle w:val="null3"/>
            </w:pPr>
            <w:r>
              <w:rPr>
                <w:rFonts w:ascii="仿宋_GB2312" w:hAnsi="仿宋_GB2312" w:cs="仿宋_GB2312" w:eastAsia="仿宋_GB2312"/>
              </w:rPr>
              <w:t>撤展期：4月14日18：00—21:00</w:t>
            </w:r>
          </w:p>
          <w:p>
            <w:pPr>
              <w:pStyle w:val="null3"/>
            </w:pPr>
            <w:r>
              <w:rPr>
                <w:rFonts w:ascii="仿宋_GB2312" w:hAnsi="仿宋_GB2312" w:cs="仿宋_GB2312" w:eastAsia="仿宋_GB2312"/>
              </w:rPr>
              <w:t>2.推介会会场搭建时间2026年4月13日</w:t>
            </w:r>
          </w:p>
          <w:p>
            <w:pPr>
              <w:pStyle w:val="null3"/>
            </w:pPr>
            <w:r>
              <w:rPr>
                <w:rFonts w:ascii="仿宋_GB2312" w:hAnsi="仿宋_GB2312" w:cs="仿宋_GB2312" w:eastAsia="仿宋_GB2312"/>
              </w:rPr>
              <w:t>推介会时间：4月14日上午（暂定）；</w:t>
            </w:r>
          </w:p>
          <w:p>
            <w:pPr>
              <w:pStyle w:val="null3"/>
            </w:pPr>
            <w:r>
              <w:rPr>
                <w:rFonts w:ascii="仿宋_GB2312" w:hAnsi="仿宋_GB2312" w:cs="仿宋_GB2312" w:eastAsia="仿宋_GB2312"/>
              </w:rPr>
              <w:t xml:space="preserve">   撤展期：4月14日12：00—14:00</w:t>
            </w:r>
          </w:p>
          <w:p>
            <w:pPr>
              <w:pStyle w:val="null3"/>
            </w:pPr>
            <w:r>
              <w:rPr>
                <w:rFonts w:ascii="仿宋_GB2312" w:hAnsi="仿宋_GB2312" w:cs="仿宋_GB2312" w:eastAsia="仿宋_GB2312"/>
              </w:rPr>
              <w:t>（二）服务地点：海南省海口市。</w:t>
            </w:r>
          </w:p>
          <w:p>
            <w:pPr>
              <w:pStyle w:val="null3"/>
            </w:pPr>
            <w:r>
              <w:rPr>
                <w:rFonts w:ascii="仿宋_GB2312" w:hAnsi="仿宋_GB2312" w:cs="仿宋_GB2312" w:eastAsia="仿宋_GB2312"/>
              </w:rPr>
              <w:t>（三）款项结算</w:t>
            </w:r>
          </w:p>
          <w:p>
            <w:pPr>
              <w:pStyle w:val="null3"/>
            </w:pPr>
            <w:r>
              <w:rPr>
                <w:rFonts w:ascii="仿宋_GB2312" w:hAnsi="仿宋_GB2312" w:cs="仿宋_GB2312" w:eastAsia="仿宋_GB2312"/>
              </w:rPr>
              <w:t>合同签订后15日内支付合同总价款的50%。项目执行完毕，经我局验收合格后15日内支付合同总价款的50%。</w:t>
            </w:r>
          </w:p>
          <w:p>
            <w:pPr>
              <w:pStyle w:val="null3"/>
            </w:pPr>
            <w:r>
              <w:rPr>
                <w:rFonts w:ascii="仿宋_GB2312" w:hAnsi="仿宋_GB2312" w:cs="仿宋_GB2312" w:eastAsia="仿宋_GB2312"/>
              </w:rPr>
              <w:t>六、其他（如有要求，请写明）</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1.4月11日20:00前,完成2026西安市名优消费品（海口）展销活动全部准备工作；</w:t>
            </w:r>
          </w:p>
          <w:p>
            <w:pPr>
              <w:pStyle w:val="null3"/>
            </w:pPr>
            <w:r>
              <w:rPr>
                <w:rFonts w:ascii="仿宋_GB2312" w:hAnsi="仿宋_GB2312" w:cs="仿宋_GB2312" w:eastAsia="仿宋_GB2312"/>
              </w:rPr>
              <w:t>2.4月14日上午8:00前，完成2026西安市名优消费品（海口）推介活动全部准备工作；</w:t>
            </w:r>
          </w:p>
          <w:p>
            <w:pPr>
              <w:pStyle w:val="null3"/>
            </w:pPr>
            <w:r>
              <w:rPr>
                <w:rFonts w:ascii="仿宋_GB2312" w:hAnsi="仿宋_GB2312" w:cs="仿宋_GB2312" w:eastAsia="仿宋_GB2312"/>
              </w:rPr>
              <w:t>2.4月14日21:00前，完成2026西安市名优消费品（海口）展销推介活动会场及展示区拆除工作。</w:t>
            </w:r>
          </w:p>
          <w:p>
            <w:pPr>
              <w:pStyle w:val="null3"/>
            </w:pPr>
            <w:r>
              <w:rPr>
                <w:rFonts w:ascii="仿宋_GB2312" w:hAnsi="仿宋_GB2312" w:cs="仿宋_GB2312" w:eastAsia="仿宋_GB2312"/>
              </w:rPr>
              <w:t>（二）质量保证</w:t>
            </w:r>
          </w:p>
          <w:p>
            <w:pPr>
              <w:pStyle w:val="null3"/>
            </w:pPr>
            <w:r>
              <w:rPr>
                <w:rFonts w:ascii="仿宋_GB2312" w:hAnsi="仿宋_GB2312" w:cs="仿宋_GB2312" w:eastAsia="仿宋_GB2312"/>
              </w:rPr>
              <w:t>1.活动整体策划方案专业规范，充分融合西安人文特色，布局合理、时尚协调、体验感强；</w:t>
            </w:r>
          </w:p>
          <w:p>
            <w:pPr>
              <w:pStyle w:val="null3"/>
            </w:pPr>
            <w:r>
              <w:rPr>
                <w:rFonts w:ascii="仿宋_GB2312" w:hAnsi="仿宋_GB2312" w:cs="仿宋_GB2312" w:eastAsia="仿宋_GB2312"/>
              </w:rPr>
              <w:t>2.活动执行全过程实行标准化、规范化服务，流程清晰、衔接顺畅、保障到位；</w:t>
            </w:r>
          </w:p>
          <w:p>
            <w:pPr>
              <w:pStyle w:val="null3"/>
            </w:pPr>
            <w:r>
              <w:rPr>
                <w:rFonts w:ascii="仿宋_GB2312" w:hAnsi="仿宋_GB2312" w:cs="仿宋_GB2312" w:eastAsia="仿宋_GB2312"/>
              </w:rPr>
              <w:t>3.严格按照设计方案搭建布展，确保设计效果与现场呈现一致，按时完工且工程质量达标；</w:t>
            </w:r>
          </w:p>
          <w:p>
            <w:pPr>
              <w:pStyle w:val="null3"/>
            </w:pPr>
            <w:r>
              <w:rPr>
                <w:rFonts w:ascii="仿宋_GB2312" w:hAnsi="仿宋_GB2312" w:cs="仿宋_GB2312" w:eastAsia="仿宋_GB2312"/>
              </w:rPr>
              <w:t>4.搭建及装饰材料须符合质量与安全标准，严禁使用劣质材料；供应商须出具搭建安全承诺书，活动全程安全责任由供应商自行承担，采购单位不承担安全责任；</w:t>
            </w:r>
          </w:p>
          <w:p>
            <w:pPr>
              <w:pStyle w:val="null3"/>
            </w:pPr>
            <w:r>
              <w:rPr>
                <w:rFonts w:ascii="仿宋_GB2312" w:hAnsi="仿宋_GB2312" w:cs="仿宋_GB2312" w:eastAsia="仿宋_GB2312"/>
              </w:rPr>
              <w:t>5.中标供应商不得将本项目转包、分包，须组建专职骨干团队，建立健全质量管理体系，规范作业、全程管控，确保活动服务质量与效果。</w:t>
            </w:r>
          </w:p>
          <w:p>
            <w:pPr>
              <w:pStyle w:val="null3"/>
            </w:pPr>
            <w:r>
              <w:rPr>
                <w:rFonts w:ascii="仿宋_GB2312" w:hAnsi="仿宋_GB2312" w:cs="仿宋_GB2312" w:eastAsia="仿宋_GB2312"/>
              </w:rPr>
              <w:t>（三）验收要求</w:t>
            </w:r>
          </w:p>
          <w:p>
            <w:pPr>
              <w:pStyle w:val="null3"/>
            </w:pPr>
            <w:r>
              <w:rPr>
                <w:rFonts w:ascii="仿宋_GB2312" w:hAnsi="仿宋_GB2312" w:cs="仿宋_GB2312" w:eastAsia="仿宋_GB2312"/>
              </w:rPr>
              <w:t>1.服务期满后按照成交供应商所提供的资料及数据进行验收；</w:t>
            </w:r>
          </w:p>
          <w:p>
            <w:pPr>
              <w:pStyle w:val="null3"/>
            </w:pPr>
            <w:r>
              <w:rPr>
                <w:rFonts w:ascii="仿宋_GB2312" w:hAnsi="仿宋_GB2312" w:cs="仿宋_GB2312" w:eastAsia="仿宋_GB2312"/>
              </w:rPr>
              <w:t>2.最终验收：自合同签订之日起至完成全部项目内容，需按照采购单位确定的时间完成交付并验收合格，验收合格后，填写验收单。</w:t>
            </w:r>
          </w:p>
          <w:p>
            <w:pPr>
              <w:pStyle w:val="null3"/>
            </w:pPr>
            <w:r>
              <w:rPr>
                <w:rFonts w:ascii="仿宋_GB2312" w:hAnsi="仿宋_GB2312" w:cs="仿宋_GB2312" w:eastAsia="仿宋_GB2312"/>
              </w:rPr>
              <w:t>3.验收和评价方式</w:t>
            </w:r>
          </w:p>
          <w:p>
            <w:pPr>
              <w:pStyle w:val="null3"/>
            </w:pPr>
            <w:r>
              <w:rPr>
                <w:rFonts w:ascii="仿宋_GB2312" w:hAnsi="仿宋_GB2312" w:cs="仿宋_GB2312" w:eastAsia="仿宋_GB2312"/>
              </w:rPr>
              <w:t>3.1  乙方提供的服务最终验收达不到磋商文件要求和磋商响应文件承诺及国家或行业标准，或在使用中发现甲方不能容忍的缺陷等，将视为验收不合格，乙方应在甲方要求的时间内无条件完善或赔付采购单位损失。</w:t>
            </w:r>
          </w:p>
          <w:p>
            <w:pPr>
              <w:pStyle w:val="null3"/>
            </w:pPr>
            <w:r>
              <w:rPr>
                <w:rFonts w:ascii="仿宋_GB2312" w:hAnsi="仿宋_GB2312" w:cs="仿宋_GB2312" w:eastAsia="仿宋_GB2312"/>
              </w:rPr>
              <w:t>3.2  若发现乙方有弄虚作假的，及在项目实施阶段故意或随意夸大服务，本项目合同解除，乙方赔偿甲方相应的损失。</w:t>
            </w:r>
          </w:p>
          <w:p>
            <w:pPr>
              <w:pStyle w:val="null3"/>
            </w:pPr>
            <w:r>
              <w:rPr>
                <w:rFonts w:ascii="仿宋_GB2312" w:hAnsi="仿宋_GB2312" w:cs="仿宋_GB2312" w:eastAsia="仿宋_GB2312"/>
              </w:rPr>
              <w:t>3.3  验收标准：按磋商文件、磋商响应文件等服务指标进行逐项验收，各项指标均应符合验收标准及要求。</w:t>
            </w:r>
          </w:p>
          <w:p>
            <w:pPr>
              <w:pStyle w:val="null3"/>
            </w:pPr>
            <w:r>
              <w:rPr>
                <w:rFonts w:ascii="仿宋_GB2312" w:hAnsi="仿宋_GB2312" w:cs="仿宋_GB2312" w:eastAsia="仿宋_GB2312"/>
              </w:rPr>
              <w:t>3.4  验收合格后，填写验收单，双方盖章、签字生效。</w:t>
            </w:r>
          </w:p>
          <w:p>
            <w:pPr>
              <w:pStyle w:val="null3"/>
            </w:pPr>
            <w:r>
              <w:rPr>
                <w:rFonts w:ascii="仿宋_GB2312" w:hAnsi="仿宋_GB2312" w:cs="仿宋_GB2312" w:eastAsia="仿宋_GB2312"/>
              </w:rPr>
              <w:t>3.5  验收依据</w:t>
            </w:r>
          </w:p>
          <w:p>
            <w:pPr>
              <w:pStyle w:val="null3"/>
            </w:pPr>
            <w:r>
              <w:rPr>
                <w:rFonts w:ascii="仿宋_GB2312" w:hAnsi="仿宋_GB2312" w:cs="仿宋_GB2312" w:eastAsia="仿宋_GB2312"/>
              </w:rPr>
              <w:t>3.5.1  合同文本</w:t>
            </w:r>
          </w:p>
          <w:p>
            <w:pPr>
              <w:pStyle w:val="null3"/>
            </w:pPr>
            <w:r>
              <w:rPr>
                <w:rFonts w:ascii="仿宋_GB2312" w:hAnsi="仿宋_GB2312" w:cs="仿宋_GB2312" w:eastAsia="仿宋_GB2312"/>
              </w:rPr>
              <w:t>3.5.2  磋商响应文件、磋商文件、澄清函。</w:t>
            </w:r>
          </w:p>
          <w:p>
            <w:pPr>
              <w:pStyle w:val="null3"/>
            </w:pPr>
            <w:r>
              <w:rPr>
                <w:rFonts w:ascii="仿宋_GB2312" w:hAnsi="仿宋_GB2312" w:cs="仿宋_GB2312" w:eastAsia="仿宋_GB2312"/>
              </w:rPr>
              <w:t>3.5.3  国家和行业制定的相应的标准和规范。</w:t>
            </w:r>
          </w:p>
          <w:p>
            <w:pPr>
              <w:pStyle w:val="null3"/>
            </w:pPr>
            <w:r>
              <w:rPr>
                <w:rFonts w:ascii="仿宋_GB2312" w:hAnsi="仿宋_GB2312" w:cs="仿宋_GB2312" w:eastAsia="仿宋_GB2312"/>
              </w:rPr>
              <w:t>（四）保密条款</w:t>
            </w:r>
          </w:p>
          <w:p>
            <w:pPr>
              <w:pStyle w:val="null3"/>
            </w:pPr>
            <w:r>
              <w:rPr>
                <w:rFonts w:ascii="仿宋_GB2312" w:hAnsi="仿宋_GB2312" w:cs="仿宋_GB2312" w:eastAsia="仿宋_GB2312"/>
              </w:rPr>
              <w:t>任何一方在未获得对方书面允许的情况下，均不应向任何第三方披露或提供从合作方取得的展会相关资料。</w:t>
            </w:r>
          </w:p>
          <w:p>
            <w:pPr>
              <w:pStyle w:val="null3"/>
            </w:pPr>
            <w:r>
              <w:rPr>
                <w:rFonts w:ascii="仿宋_GB2312" w:hAnsi="仿宋_GB2312" w:cs="仿宋_GB2312" w:eastAsia="仿宋_GB2312"/>
              </w:rPr>
              <w:t>（五）违约责任</w:t>
            </w:r>
          </w:p>
          <w:p>
            <w:pPr>
              <w:pStyle w:val="null3"/>
            </w:pPr>
            <w:r>
              <w:rPr>
                <w:rFonts w:ascii="仿宋_GB2312" w:hAnsi="仿宋_GB2312" w:cs="仿宋_GB2312" w:eastAsia="仿宋_GB2312"/>
              </w:rPr>
              <w:t>1.按《民法典》中的相关条款执行。</w:t>
            </w:r>
          </w:p>
          <w:p>
            <w:pPr>
              <w:pStyle w:val="null3"/>
            </w:pPr>
            <w:r>
              <w:rPr>
                <w:rFonts w:ascii="仿宋_GB2312" w:hAnsi="仿宋_GB2312" w:cs="仿宋_GB2312" w:eastAsia="仿宋_GB2312"/>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pPr>
            <w:r>
              <w:rPr>
                <w:rFonts w:ascii="仿宋_GB2312" w:hAnsi="仿宋_GB2312" w:cs="仿宋_GB2312" w:eastAsia="仿宋_GB2312"/>
              </w:rPr>
              <w:t>3.由于不可抗力因素造成无法按照原计划提供服务，双方互不追究违约责任。</w:t>
            </w:r>
          </w:p>
          <w:p>
            <w:pPr>
              <w:pStyle w:val="null3"/>
            </w:pPr>
            <w:r>
              <w:rPr>
                <w:rFonts w:ascii="仿宋_GB2312" w:hAnsi="仿宋_GB2312" w:cs="仿宋_GB2312" w:eastAsia="仿宋_GB2312"/>
              </w:rPr>
              <w:t>4.如有异议另行协商。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项目执行完毕，经我局验收合格后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提供法定代表人授权书（附法定代表人、被授权人身份证复印件、被授权人本单位养老保险缴纳证明或劳动合同），法定代表人直接参加投标，须提供法定代表人身份证明及身份证复印件）；</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w:t>
            </w:r>
          </w:p>
        </w:tc>
        <w:tc>
          <w:tcPr>
            <w:tcW w:type="dxa" w:w="1661"/>
          </w:tcPr>
          <w:p>
            <w:pPr>
              <w:pStyle w:val="null3"/>
            </w:pPr>
            <w:r>
              <w:rPr>
                <w:rFonts w:ascii="仿宋_GB2312" w:hAnsi="仿宋_GB2312" w:cs="仿宋_GB2312" w:eastAsia="仿宋_GB2312"/>
              </w:rPr>
              <w:t>中小企业声明函 残疾人福利性单位声明函 特定资格证明文件.docx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非联合体磋商（提供承诺书）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1分，不完全满足一个评分标准得0-0.9分，满分3分； ②需求分析：每完全满足一个评审标准得 1分，不完全满足一个评分标准得0-0.9分，满分3分； ③项目重难点分析：每完全满足一个评审标准得 1分，不完全满足一个评分标准得0-0.9分，满分3分。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三、赋分标准（满分15分） ①整体服务方案：每完全满足一个评审标准得 1.5分，不完全满足一个评分标准得0-1.4分，满分4.5分； ②项目实施计划：每完全满足一个评审标准得 1.5分，不完全满足一个评分标准得0-1.4分，满分4.5分； ③组织实施方案：每完全满足一个评审标准得 2分，不完全满足一个评分标准得0-1.9分，满分6分。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针对采购需求提出适用于本项目的措施方案，方案包括：①质量保证措施②进度控制措施③安全保障措施 二、评审标准 1、完整性：方案必须全面，对评审内容中的各项要求有详细描述； 2、可实施性：切合本项目实际情况，提出步骤清晰、合理的方案； 3、针对性：方案能够紧扣项目实际情况，内容科学合理。 三、赋分标准（满分15分） ①质量保证措施：每完全满足一个评审标准得 1.5分，不完全满足一个评分标准得0-1.4分，满分4.5分； ②进度控制措施：每完全满足一个评审标准得 1.5分，不完全满足一个评分标准得0-1.4分，满分4.5分； ③安全管理措施：每完全满足一个评审标准得 2分，不完全满足一个评分标准得0-1.9分，满分6分。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针对本项目提出适用于本项目的会议服务方案，方案包括：①整体策划方案②现场布置方案③实施安排方案 二、评审标准 1、完整性：方案必须全面，对评审内容中的各项要求有详细描述； 2、可实施性：切合本项目实际情况，提出步骤清晰、合理的方案； 3、针对性：方案能够紧扣项目实际情况，内容科学合理。 三、赋分标准（满分12分） ①整体策划方案：每完全满足一个评审标准得2分，不完全满足一个评分标准得0-1.9分，满分6分； ②现场布置方案：每完全满足一个评审标准得 1分，不完全满足一个评分标准得0-0.9分，满分3分；③实施安排方案：每完全满足一个评审标准得 1分，不完全满足一个评分标准得0-0.9分，满分3分。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 针对本项目提出适用于本项目的实施管理方案，方案包括：①拟投入的设备、物料②人员组织管理方案③资料总结 二、评审标准 1、完整性：方案必须全面，对评审内容中的各项要求有详细描述； 2、可实施性：切合本项目实际情况，提出步骤清晰、合理的方案； 3、针对性：方案能够紧扣项目实际情况，内容科学合理。 三、赋分标准（满分9分） ①拟投入的设备、物料：每完全满足一个评审标准得 1分，不完全满足一个评分标准得0-0.9分，满分3分； ②人员组织管理方案：每完全满足一个评审标准得 1分，不完全满足一个评分标准得0-0.9分，满分3分；③会议资料总结：每完全满足一个评审标准得 1分，不完全满足一个评分标准得0-0.9分，满分3分。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①服务承诺：每完全满足一个评审标准得 1分，不完全满足一个评分标准得0-0.9分，满分3分； ②应急预案：每完全满足一个评审标准得 1分，不完全满足一个评分标准得0-0.9分，满分3分； ③应急保障措施：每完全满足一个评审标准得 1分，不完全满足一个评分标准得0-0.9分，满分3分。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①团队人员各专业岗位配置：每完全满足一个评审标准得1.5分，未完全满足一个评审标准得 0-1.4 分，满分4.5分； ②团队人员管理制度：每完全满足一个评审标准得1.5分，未完全满足一个评审标准得 0-1.4 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