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版本号：ZJCG2026-03-0120260317001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《隋大兴唐长安城外郭城东北角遗址保护展示工程》设计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ZJCG2026-03-01</w:t>
      </w:r>
      <w:r>
        <w:br/>
      </w:r>
      <w:r>
        <w:br/>
      </w:r>
      <w:r>
        <w:br/>
      </w:r>
    </w:p>
    <w:p>
      <w:pPr>
        <w:pStyle w:val="null3"/>
        <w:jc w:val="center"/>
        <w:outlineLvl w:val="2"/>
      </w:pPr>
      <w:r>
        <w:rPr>
          <w:rFonts w:ascii="仿宋_GB2312" w:hAnsi="仿宋_GB2312" w:cs="仿宋_GB2312" w:eastAsia="仿宋_GB2312"/>
          <w:sz w:val="28"/>
          <w:b/>
        </w:rPr>
        <w:t>西安市隋唐长安城遗址保护中心</w:t>
      </w:r>
    </w:p>
    <w:p>
      <w:pPr>
        <w:pStyle w:val="null3"/>
        <w:jc w:val="center"/>
        <w:outlineLvl w:val="2"/>
      </w:pPr>
      <w:r>
        <w:rPr>
          <w:rFonts w:ascii="仿宋_GB2312" w:hAnsi="仿宋_GB2312" w:cs="仿宋_GB2312" w:eastAsia="仿宋_GB2312"/>
          <w:sz w:val="28"/>
          <w:b/>
        </w:rPr>
        <w:t>陕西贞吉建设项目管理有限公司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陕西贞吉建设项目管理有限公司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西安市隋唐长安城遗址保护中心</w:t>
      </w:r>
      <w:r>
        <w:rPr>
          <w:rFonts w:ascii="仿宋_GB2312" w:hAnsi="仿宋_GB2312" w:cs="仿宋_GB2312" w:eastAsia="仿宋_GB2312"/>
        </w:rPr>
        <w:t>委托，拟对</w:t>
      </w:r>
      <w:r>
        <w:rPr>
          <w:rFonts w:ascii="仿宋_GB2312" w:hAnsi="仿宋_GB2312" w:cs="仿宋_GB2312" w:eastAsia="仿宋_GB2312"/>
        </w:rPr>
        <w:t>《隋大兴唐长安城外郭城东北角遗址保护展示工程》设计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ZJCG2026-03-01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《隋大兴唐长安城外郭城东北角遗址保护展示工程》设计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隋大兴唐长安城外郭城东北角遗址保护展示工程设计，外郭城遗址是隋大兴唐长安城遗址的重要组成部分，是城市重要建筑设施之一，也是构成城市整体格局形态的关键要素之一。目前，外郭城东北角遗址在考古完成后尚未进行保护展示，遗址的重要价值和格局未能得到充分展示。现计划实施隋唐长安城外郭城东北角遗址保护展示工程，需要进行工程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采购包1（隋大兴唐长安城外郭城东北角遗址保护展示工程设计）：属于专门面向中小企业采购。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3、企业资质：供应商须具备文物保护工程勘察设计甲级资质（从业范围须包含古文化遗址古墓葬）；</w:t>
      </w:r>
    </w:p>
    <w:p>
      <w:pPr>
        <w:pStyle w:val="null3"/>
      </w:pPr>
      <w:r>
        <w:rPr>
          <w:rFonts w:ascii="仿宋_GB2312" w:hAnsi="仿宋_GB2312" w:cs="仿宋_GB2312" w:eastAsia="仿宋_GB2312"/>
        </w:rPr>
        <w:t>4、项目负责人：拟派项目负责人须具有文物保护工程责任设计师资格（从业范围须包含古文化遗址古墓葬）；</w:t>
      </w:r>
    </w:p>
    <w:p>
      <w:pPr>
        <w:pStyle w:val="null3"/>
      </w:pPr>
      <w:r>
        <w:rPr>
          <w:rFonts w:ascii="仿宋_GB2312" w:hAnsi="仿宋_GB2312" w:cs="仿宋_GB2312" w:eastAsia="仿宋_GB2312"/>
        </w:rPr>
        <w:t>5、财务状况报告：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pPr>
        <w:pStyle w:val="null3"/>
      </w:pPr>
      <w:r>
        <w:rPr>
          <w:rFonts w:ascii="仿宋_GB2312" w:hAnsi="仿宋_GB2312" w:cs="仿宋_GB2312" w:eastAsia="仿宋_GB2312"/>
        </w:rPr>
        <w:t>6、税收缴纳证明：提供2025年6月至今已缴纳的至少一个月（以税款所属期为准）的纳税证明或完税证明（税种为营业税或增值税或企业所得税），依法免税的单位应提供相关证明材料；</w:t>
      </w:r>
    </w:p>
    <w:p>
      <w:pPr>
        <w:pStyle w:val="null3"/>
      </w:pPr>
      <w:r>
        <w:rPr>
          <w:rFonts w:ascii="仿宋_GB2312" w:hAnsi="仿宋_GB2312" w:cs="仿宋_GB2312" w:eastAsia="仿宋_GB2312"/>
        </w:rPr>
        <w:t>7、社会保障资金缴纳证明：提供2025年6月至今已缴存的至少一个月的社会保障资金缴存单据或社保机构开具的社会保险参保缴费情况证明，依法不需要缴纳社会保障资金的单位应提供相关证明材料；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8、设备、技术能力书面声明：提供具有履行合同所必需的设备和专业技术能力的书面声明；</w:t>
      </w:r>
    </w:p>
    <w:p>
      <w:pPr>
        <w:pStyle w:val="null3"/>
      </w:pPr>
      <w:r>
        <w:rPr>
          <w:rFonts w:ascii="仿宋_GB2312" w:hAnsi="仿宋_GB2312" w:cs="仿宋_GB2312" w:eastAsia="仿宋_GB2312"/>
        </w:rPr>
        <w:t>9、信用查询记录：供应商不得为“信用中国”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10、关联关系：单位负责人为同一人或者存在控股、管理关系的不同单位不得同时投标；为本项目提供整体设计、规范编制或者项目管理、监理、检测等服务的供应商，不得再参加该采购项目的其他采购活动；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11、本次项目不接受联合体投标：提供非联合体投标承诺书；</w:t>
      </w:r>
    </w:p>
    <w:p>
      <w:pPr>
        <w:pStyle w:val="null3"/>
      </w:pPr>
      <w:r>
        <w:rPr>
          <w:rFonts w:ascii="仿宋_GB2312" w:hAnsi="仿宋_GB2312" w:cs="仿宋_GB2312" w:eastAsia="仿宋_GB2312"/>
        </w:rPr>
        <w:t>12、中小企业声明函：本项目专门面向中小企业采购，仅限符合《政府采购促进中小企业发展管理办法》（ 财库〔2020〕46号）条件的中小企业参与，提供中小企业声明函（残疾人福利性单位、监狱企业视同小、微企业）。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西安市隋唐长安城遗址保护中心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龙首北路东段1号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029-81620820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陕西贞吉建设项目管理有限公司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西安经济技术开发区赛高国际D座603室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杨亚妮 姜培栋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029-86679931/15353738403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采购包1：1,229,892.48元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国家发展改革委关于降低部分建设项目收费标准规范收费行为等有关问题的通知》（发改价格〔2011〕534号）的有关规定，向代理机构一次支付招标代理服务费，招标代理服务费用不足陆仟元（¥：6000元）时按陆仟元收取。2、代理费缴存账户： 开户名称：陕西贞吉建设项目管理有限公司 开户银行：兴业银行股份有限公司西安经济开发区支行 账号：4568 5010 0100 250 478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西安市隋唐长安城遗址保护中心</w:t>
      </w:r>
      <w:r>
        <w:rPr>
          <w:rFonts w:ascii="仿宋_GB2312" w:hAnsi="仿宋_GB2312" w:cs="仿宋_GB2312" w:eastAsia="仿宋_GB2312"/>
        </w:rPr>
        <w:t>和</w:t>
      </w:r>
      <w:r>
        <w:rPr>
          <w:rFonts w:ascii="仿宋_GB2312" w:hAnsi="仿宋_GB2312" w:cs="仿宋_GB2312" w:eastAsia="仿宋_GB2312"/>
        </w:rPr>
        <w:t>陕西贞吉建设项目管理有限公司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西安市隋唐长安城遗址保护中心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陕西贞吉建设项目管理有限公司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西安市隋唐长安城遗址保护中心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陕西贞吉建设项目管理有限公司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联系人：杨亚妮 姜培栋</w:t>
      </w:r>
    </w:p>
    <w:p>
      <w:pPr>
        <w:pStyle w:val="null3"/>
      </w:pPr>
      <w:r>
        <w:rPr>
          <w:rFonts w:ascii="仿宋_GB2312" w:hAnsi="仿宋_GB2312" w:cs="仿宋_GB2312" w:eastAsia="仿宋_GB2312"/>
        </w:rPr>
        <w:t>联系电话：029-86679931</w:t>
      </w:r>
    </w:p>
    <w:p>
      <w:pPr>
        <w:pStyle w:val="null3"/>
      </w:pPr>
      <w:r>
        <w:rPr>
          <w:rFonts w:ascii="仿宋_GB2312" w:hAnsi="仿宋_GB2312" w:cs="仿宋_GB2312" w:eastAsia="仿宋_GB2312"/>
        </w:rPr>
        <w:t>地址：西安经济技术开发区赛高国际D座603室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外郭城遗址是隋大兴唐长安城遗址的重要组成部分，是城市重要建筑设施之一，也是构成城市整体格局形态的关键要素之一。目前，外郭城东北角遗址在考古完成后尚未进行保护展示，遗址的重要价值和格局未能得到充分展示。现计划实施隋唐长安城外郭城东北角遗址保护展示工程，需要进行工程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1,229,892.48</w:t>
      </w:r>
    </w:p>
    <w:p>
      <w:pPr>
        <w:pStyle w:val="null3"/>
      </w:pPr>
      <w:r>
        <w:rPr>
          <w:rFonts w:ascii="仿宋_GB2312" w:hAnsi="仿宋_GB2312" w:cs="仿宋_GB2312" w:eastAsia="仿宋_GB2312"/>
        </w:rPr>
        <w:t>采购包最高限价（元）: 1,229,892.48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1,229,892.48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一、项目名称：</w:t>
            </w:r>
            <w:r>
              <w:rPr>
                <w:rFonts w:ascii="仿宋_GB2312" w:hAnsi="仿宋_GB2312" w:cs="仿宋_GB2312" w:eastAsia="仿宋_GB2312"/>
                <w:sz w:val="18"/>
              </w:rPr>
              <w:t>隋大兴唐长安城外郭城东北角遗址保护展示工程设计</w:t>
            </w:r>
          </w:p>
          <w:p>
            <w:pPr>
              <w:pStyle w:val="null3"/>
              <w:jc w:val="both"/>
            </w:pPr>
            <w:r>
              <w:rPr>
                <w:rFonts w:ascii="仿宋_GB2312" w:hAnsi="仿宋_GB2312" w:cs="仿宋_GB2312" w:eastAsia="仿宋_GB2312"/>
                <w:sz w:val="18"/>
              </w:rPr>
              <w:t>二、采购预算</w:t>
            </w:r>
            <w:r>
              <w:rPr>
                <w:rFonts w:ascii="仿宋_GB2312" w:hAnsi="仿宋_GB2312" w:cs="仿宋_GB2312" w:eastAsia="仿宋_GB2312"/>
                <w:sz w:val="18"/>
              </w:rPr>
              <w:t>：</w:t>
            </w:r>
            <w:r>
              <w:rPr>
                <w:rFonts w:ascii="仿宋_GB2312" w:hAnsi="仿宋_GB2312" w:cs="仿宋_GB2312" w:eastAsia="仿宋_GB2312"/>
                <w:sz w:val="18"/>
              </w:rPr>
              <w:t>1,229,892.48</w:t>
            </w:r>
            <w:r>
              <w:rPr>
                <w:rFonts w:ascii="仿宋_GB2312" w:hAnsi="仿宋_GB2312" w:cs="仿宋_GB2312" w:eastAsia="仿宋_GB2312"/>
                <w:sz w:val="18"/>
              </w:rPr>
              <w:t>元</w:t>
            </w:r>
          </w:p>
          <w:p>
            <w:pPr>
              <w:pStyle w:val="null3"/>
              <w:jc w:val="both"/>
            </w:pPr>
            <w:r>
              <w:rPr>
                <w:rFonts w:ascii="仿宋_GB2312" w:hAnsi="仿宋_GB2312" w:cs="仿宋_GB2312" w:eastAsia="仿宋_GB2312"/>
                <w:sz w:val="18"/>
              </w:rPr>
              <w:t>三、采购内容：</w:t>
            </w:r>
            <w:r>
              <w:rPr>
                <w:rFonts w:ascii="仿宋_GB2312" w:hAnsi="仿宋_GB2312" w:cs="仿宋_GB2312" w:eastAsia="仿宋_GB2312"/>
                <w:sz w:val="18"/>
              </w:rPr>
              <w:t>隋大兴唐长安城外郭城东北角遗址保护展示工程设计</w:t>
            </w:r>
            <w:r>
              <w:rPr>
                <w:rFonts w:ascii="仿宋_GB2312" w:hAnsi="仿宋_GB2312" w:cs="仿宋_GB2312" w:eastAsia="仿宋_GB2312"/>
                <w:sz w:val="18"/>
              </w:rPr>
              <w:t>，</w:t>
            </w:r>
            <w:r>
              <w:rPr>
                <w:rFonts w:ascii="仿宋_GB2312" w:hAnsi="仿宋_GB2312" w:cs="仿宋_GB2312" w:eastAsia="仿宋_GB2312"/>
                <w:sz w:val="18"/>
              </w:rPr>
              <w:t>外郭城遗址是隋大兴唐长安城遗址的重要组成部分，是城市重要建筑设施之一，也是构成城市整体格局形态的关键要素之一。目前，外郭城东北角遗址在考古完成后尚未进行保护展示，遗址的重要价值和格局未能得到充分展示。现计划实施隋唐长安城外郭城东北角遗址保护展示工程，需要进行工程设计。</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服务期限：</w:t>
            </w:r>
            <w:r>
              <w:rPr>
                <w:rFonts w:ascii="仿宋_GB2312" w:hAnsi="仿宋_GB2312" w:cs="仿宋_GB2312" w:eastAsia="仿宋_GB2312"/>
                <w:sz w:val="18"/>
              </w:rPr>
              <w:t>自合同签订之日起至上级文物部门组织的项目终验合格后结束。</w:t>
            </w:r>
          </w:p>
          <w:p>
            <w:pPr>
              <w:pStyle w:val="null3"/>
              <w:jc w:val="both"/>
            </w:pPr>
            <w:r>
              <w:rPr>
                <w:rFonts w:ascii="仿宋_GB2312" w:hAnsi="仿宋_GB2312" w:cs="仿宋_GB2312" w:eastAsia="仿宋_GB2312"/>
                <w:sz w:val="18"/>
              </w:rPr>
              <w:t>五、资金来源：财政资金，资金来源已落实。</w:t>
            </w:r>
          </w:p>
          <w:p>
            <w:pPr>
              <w:pStyle w:val="null3"/>
            </w:pPr>
            <w:r>
              <w:rPr>
                <w:rFonts w:ascii="仿宋_GB2312" w:hAnsi="仿宋_GB2312" w:cs="仿宋_GB2312" w:eastAsia="仿宋_GB2312"/>
                <w:sz w:val="18"/>
                <w:color w:val="000000"/>
              </w:rPr>
              <w:t>六、</w:t>
            </w:r>
            <w:r>
              <w:rPr>
                <w:rFonts w:ascii="仿宋_GB2312" w:hAnsi="仿宋_GB2312" w:cs="仿宋_GB2312" w:eastAsia="仿宋_GB2312"/>
                <w:sz w:val="18"/>
                <w:color w:val="000000"/>
              </w:rPr>
              <w:t>进度要求：</w:t>
            </w:r>
            <w:r>
              <w:rPr>
                <w:rFonts w:ascii="仿宋_GB2312" w:hAnsi="仿宋_GB2312" w:cs="仿宋_GB2312" w:eastAsia="仿宋_GB2312"/>
                <w:sz w:val="18"/>
                <w:color w:val="000000"/>
              </w:rPr>
              <w:t>合同签订后</w:t>
            </w:r>
            <w:r>
              <w:rPr>
                <w:rFonts w:ascii="仿宋_GB2312" w:hAnsi="仿宋_GB2312" w:cs="仿宋_GB2312" w:eastAsia="仿宋_GB2312"/>
                <w:sz w:val="18"/>
                <w:color w:val="000000"/>
              </w:rPr>
              <w:t>50个工作日内完成方案设计；202</w:t>
            </w:r>
            <w:r>
              <w:rPr>
                <w:rFonts w:ascii="仿宋_GB2312" w:hAnsi="仿宋_GB2312" w:cs="仿宋_GB2312" w:eastAsia="仿宋_GB2312"/>
                <w:sz w:val="18"/>
                <w:color w:val="000000"/>
              </w:rPr>
              <w:t>6</w:t>
            </w:r>
            <w:r>
              <w:rPr>
                <w:rFonts w:ascii="仿宋_GB2312" w:hAnsi="仿宋_GB2312" w:cs="仿宋_GB2312" w:eastAsia="仿宋_GB2312"/>
                <w:sz w:val="18"/>
                <w:color w:val="000000"/>
              </w:rPr>
              <w:t>年</w:t>
            </w:r>
            <w:r>
              <w:rPr>
                <w:rFonts w:ascii="仿宋_GB2312" w:hAnsi="仿宋_GB2312" w:cs="仿宋_GB2312" w:eastAsia="仿宋_GB2312"/>
                <w:sz w:val="18"/>
                <w:color w:val="000000"/>
              </w:rPr>
              <w:t>12月30日前完成设计工作</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rPr>
              <w:t>七、</w:t>
            </w:r>
            <w:r>
              <w:rPr>
                <w:rFonts w:ascii="仿宋_GB2312" w:hAnsi="仿宋_GB2312" w:cs="仿宋_GB2312" w:eastAsia="仿宋_GB2312"/>
                <w:sz w:val="18"/>
              </w:rPr>
              <w:t>技术要求：</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达到国家相关规范、标准及采购人考核要求。</w:t>
            </w:r>
          </w:p>
          <w:p>
            <w:pPr>
              <w:pStyle w:val="null3"/>
              <w:ind w:firstLine="360"/>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方案和施工图设计须达到国家和行业相关规范、标准、深度规定等要求。</w:t>
            </w:r>
          </w:p>
          <w:p>
            <w:pPr>
              <w:pStyle w:val="null3"/>
            </w:pPr>
            <w:r>
              <w:rPr>
                <w:rFonts w:ascii="仿宋_GB2312" w:hAnsi="仿宋_GB2312" w:cs="仿宋_GB2312" w:eastAsia="仿宋_GB2312"/>
                <w:sz w:val="18"/>
                <w:color w:val="000000"/>
              </w:rPr>
              <w:t>八、成果要求：</w:t>
            </w:r>
          </w:p>
          <w:p>
            <w:pPr>
              <w:pStyle w:val="null3"/>
              <w:ind w:firstLine="360"/>
            </w:pPr>
            <w:r>
              <w:rPr>
                <w:rFonts w:ascii="仿宋_GB2312" w:hAnsi="仿宋_GB2312" w:cs="仿宋_GB2312" w:eastAsia="仿宋_GB2312"/>
                <w:sz w:val="18"/>
                <w:color w:val="000000"/>
              </w:rPr>
              <w:t>隋大兴唐长安城外郭城东北角遗址保护展示工程设计方案</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4册</w:t>
            </w:r>
          </w:p>
          <w:p>
            <w:pPr>
              <w:pStyle w:val="null3"/>
            </w:pPr>
            <w:r>
              <w:rPr>
                <w:rFonts w:ascii="仿宋_GB2312" w:hAnsi="仿宋_GB2312" w:cs="仿宋_GB2312" w:eastAsia="仿宋_GB2312"/>
              </w:rPr>
              <w:t xml:space="preserve">    </w:t>
            </w:r>
            <w:r>
              <w:rPr>
                <w:rFonts w:ascii="仿宋_GB2312" w:hAnsi="仿宋_GB2312" w:cs="仿宋_GB2312" w:eastAsia="仿宋_GB2312"/>
                <w:sz w:val="18"/>
              </w:rPr>
              <w:t>隋大兴唐长安城外郭城东北角遗址保护展示工程施工图</w:t>
            </w:r>
            <w:r>
              <w:rPr>
                <w:rFonts w:ascii="仿宋_GB2312" w:hAnsi="仿宋_GB2312" w:cs="仿宋_GB2312" w:eastAsia="仿宋_GB2312"/>
                <w:sz w:val="18"/>
              </w:rPr>
              <w:t xml:space="preserve">  </w:t>
            </w:r>
            <w:r>
              <w:rPr>
                <w:rFonts w:ascii="仿宋_GB2312" w:hAnsi="仿宋_GB2312" w:cs="仿宋_GB2312" w:eastAsia="仿宋_GB2312"/>
                <w:sz w:val="18"/>
              </w:rPr>
              <w:t>6套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自合同签订之日起至上级文物部门组织的项目终验合格后结束。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1、《文物保护工程管理办法》（2003年） 2、《中国文物古迹保护准则》（2015年） 3、《文物保护工程设计文件编制深度要求（试行）》（2013）</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乙方提交设计方案经验收合格后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乙方提交项目施工图及相关所有设计资料，经甲方认定合格后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按照《中华人民共和国民法典》及采购文件相关条款执行。2.合同争议解决的方式：本合同在履行过程中发生的争议，由甲、乙双方当事人协商解决，协商不成的，任一方可向甲方所在地人民法院起诉。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2.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节能产品政府采购实施意见》（财库〔2004〕185号）； 5、《环境标志产品政府采购实施的意见》（财库〔2006〕90号）；6、《三部门联合发布关于促进残疾人就业政府采购政策的通知》（财库〔2017〕141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中小企业政府采购信用融资办法》（陕财办采〔2018〕23号）、陕西省财政厅、中国人民银行西安分行关于深入推进政府采购信用融资业务的通知（陕财办采〔2023〕5号）；12、《关于政府采购支持绿色建材促进建筑品质提升试点工作的通知》（财库〔2020〕31 号）；13、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14、关于推动解决政府采购异常低价问题的通知（财库〔2026〕2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供应商须具备文物保护工程勘察设计甲级资质（从业范围须包含古文化遗址古墓葬）；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拟派项目负责人须具有文物保护工程责任设计师资格（从业范围须包含古文化遗址古墓葬）；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提供2025年6月至今已缴纳的至少一个月（以税款所属期为准）的纳税证明或完税证明（税种为营业税或增值税或企业所得税），依法免税的单位应提供相关证明材料；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单位负责人为同一人或者存在控股、管理关系的不同单位不得同时投标；为本项目提供整体设计、规范编制或者项目管理、监理、检测等服务的供应商，不得再参加该采购项目的其他采购活动；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 财库〔2020〕46号）条件的中小企业参与，提供中小企业声明函（残疾人福利性单位、监狱企业视同小、微企业）。</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自响应文件递交截止之日起90个日历日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项目理解及认识</w:t>
            </w:r>
          </w:p>
        </w:tc>
        <w:tc>
          <w:tcPr>
            <w:tcW w:type="dxa" w:w="2492"/>
          </w:tcPr>
          <w:p>
            <w:pPr>
              <w:pStyle w:val="null3"/>
            </w:pPr>
            <w:r>
              <w:rPr>
                <w:rFonts w:ascii="仿宋_GB2312" w:hAnsi="仿宋_GB2312" w:cs="仿宋_GB2312" w:eastAsia="仿宋_GB2312"/>
              </w:rPr>
              <w:t>一、评审内容： 针对本项目的理解及认识方案，内容包含：①对项目背景的了解程度；②对项目需求的理解程度；③拟定成果目标对采购需求的符合程度。 二、评分标准： ①完整性：方案必须全面，对评审内容中的各项要求有详细描述；②可实施性：切合本项目实际情况，提出切实可行、合理的方案；③针对性：方案能够紧扣项目实际情况，内容科学合理。 三、赋分标准（满分12分）： ①对项目评审内容理解准确，内容齐全、结构完整、表述准确、条理清晰得12分； ②方案每缺失一项，扣4分；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针对本项目的设计方案，内容包含：①设计理念；②设计思路；③设计标准及依据；④设计工作程序；⑤遗址保护方案；⑥展示方案；⑦后期建设利用方案；⑧设计安全保证。 二、评分标准： ①完整性：方案必须全面，对评审内容中的各项要求有详细描述；②可实施性：切合本项目实际情况，提出切实可行、合理的方案；③针对性：方案能够紧扣项目实际情况，内容科学合理。 三、赋分标准（满分16分）： ①对项目评审内容理解准确，内容齐全、结构完整、表述准确、条理清晰得16分； ②方案每缺失一项，扣2分；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针对本项目的质量保障方案，内容包含：①项目组织机构及管理体系；②管理制度及岗位职责；③项目质量保障措施及服务质量保障承诺。 二、评分标准： ①完整性：方案必须全面，对评审内容中的各项要求有详细描述；②可实施性：切合本项目实际情况，提出切实可行、合理的方案；③针对性：方案能够紧扣项目实际情况，内容科学合理。 三、赋分标准（满分12分）： ①对项目评审内容理解准确，内容齐全、结构完整、表述准确、条理清晰得12分； ②方案每缺失一项，扣4分；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针对本项目的工作进度安排，内容包含：①实施进度方案；②设计工作量及计划安排；③确保服务期进度的保证措施。 二、评分标准： ①完整性：方案必须全面，对评审内容中的各项要求有详细描述；②可实施性：切合本项目实际情况，提出切实可行、合理的方案；③针对性：方案能够紧扣项目实际情况，内容科学合理。 三、赋分标准（满分12分）： ①对项目评审内容理解准确，内容齐全、结构完整、表述准确、条理清晰得12分； ②方案每缺失一项，扣4分；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针对本项目的售后服务方案，内容包含：①售后服务承诺、质量保证期限及质量保证的范围承诺；②售后服务响应时间；③后续增值服务的安排及保证措施。 二、评分标准： ①完整性：方案必须全面，对评审内容中的各项要求有详细描述；②可实施性：切合本项目实际情况，提出切实可行、合理的方案；③针对性：方案能够紧扣项目实际情况，内容科学合理。 三、赋分标准（满分12分）： ①对项目评审内容理解准确，内容齐全、结构完整、表述准确、条理清晰得12分； ②方案每缺失一项，扣4分；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 针对本项目的人员保障方案，内容包含：①人员岗位职责划分及专业人员投入情况；②管理及岗位制度。 二、评分标准： ①完整性：方案必须全面，对评审内容中的各项要求有详细描述；②可实施性：切合本项目实际情况，提出切实可行、合理的方案；③针对性：方案能够紧扣项目实际情况，内容科学合理。 三、赋分标准（满分10分）： ①对项目评审内容理解准确，内容齐全、结构完整、表述准确、条理清晰得10分； ②方案每缺失一项，扣5分；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根据项目采购需求，提出适用于本项目实施的合理化建议，内容包含：①对本项目服务工作中的常见问题进行梳理，具有良好的解决方案；②及时向采购人提供有利于本项目实施的可行性合理化建议。 二、评分标准： ①完整性：方案必须全面，对评审内容中的各项要求有详细描述；②可实施性：切合本项目实际情况，提出切实可行、合理的方案；③针对性：方案能够紧扣项目实际情况，内容科学合理。 三、赋分标准（满分6分）： ①对项目评审内容理解准确，内容齐全、结构完整、表述准确、条理清晰得6分； ②方案每缺失一项，扣3分； ③针对每条评审内容，每一条不符合本项目特点和实际需求，存在缺陷或实用性不强的扣0.5—1.5分，扣完为止。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投标供应商（2022年1月1日至今）类似项目业绩，每个有效业绩得2分，满分10分。（以合同为准，复印件加盖公章。）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满足磋商文件要求且最后报价最低的供应商的价格为磋商基准价，其价格分为满分。其他供应商的价格分统一按照下列公式计算：投标报价得分=（磋商基准价/最后磋商报价）×10%×100 注：本项目为专门面向中小企业，符合磋商文件规定的小微企业、监狱企业、残疾人福利性单位优惠条件的投标人价格不再予以扣除。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