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版本号：ZCZB-2026-010820260318001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食堂委托管理服务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ZCZB-2026-0108</w:t>
      </w:r>
      <w:r>
        <w:br/>
      </w:r>
      <w:r>
        <w:br/>
      </w:r>
      <w:r>
        <w:br/>
      </w:r>
    </w:p>
    <w:p>
      <w:pPr>
        <w:pStyle w:val="null3"/>
        <w:jc w:val="center"/>
        <w:outlineLvl w:val="2"/>
      </w:pPr>
      <w:r>
        <w:rPr>
          <w:rFonts w:ascii="仿宋_GB2312" w:hAnsi="仿宋_GB2312" w:cs="仿宋_GB2312" w:eastAsia="仿宋_GB2312"/>
          <w:sz w:val="28"/>
          <w:b/>
        </w:rPr>
        <w:t>西安市生态环境局新城分局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西安市生态环境局新城分局</w:t>
      </w:r>
      <w:r>
        <w:rPr>
          <w:rFonts w:ascii="仿宋_GB2312" w:hAnsi="仿宋_GB2312" w:cs="仿宋_GB2312" w:eastAsia="仿宋_GB2312"/>
        </w:rPr>
        <w:t>委托，拟对</w:t>
      </w:r>
      <w:r>
        <w:rPr>
          <w:rFonts w:ascii="仿宋_GB2312" w:hAnsi="仿宋_GB2312" w:cs="仿宋_GB2312" w:eastAsia="仿宋_GB2312"/>
        </w:rPr>
        <w:t>食堂委托管理服务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ZCZB-2026-0108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食堂委托管理服务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职工食堂委托管理服务，包括但不限于餐饮供应、人员管理、卫生保洁、安全管理等，在国家法定工作日和甲方提出的特殊时段提供餐饮服务。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采购包1（食堂委托管理服务）：属于专门面向中小企业采购。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供应商是法人的，提供2024年度或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2、税收缴纳证明：提供2025年3月1日以来任意一个月税收缴纳证明（至少包含增值税或企业所得税其中一种），依法免税的或无需缴纳税收的单位应提供相关证明材料；</w:t>
      </w:r>
    </w:p>
    <w:p>
      <w:pPr>
        <w:pStyle w:val="null3"/>
      </w:pPr>
      <w:r>
        <w:rPr>
          <w:rFonts w:ascii="仿宋_GB2312" w:hAnsi="仿宋_GB2312" w:cs="仿宋_GB2312" w:eastAsia="仿宋_GB2312"/>
        </w:rPr>
        <w:t>3、社会保障资金缴纳证明：提供2025年3月1日以来任意一个月的社会保障资金缴存单据或社保机构开具的社会保险参保缴费情况证明，依法不需要缴纳社会保障资金的单位应提供相关证明材料；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4、承诺函：具备履行合同所必需的设备和专业技术能力的证明材料（书面声明）；</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人授权委托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8、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9、食品经营许可证：供应商须具备合法有效的《食品经营许可证》；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西安市生态环境局新城分局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18992880915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15191081735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采购包1：327,800.00元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国家发展和改革委员会办公厅颁发的《关于招标代理服务收费有关问题的通知》（发改办价格[2003]857号）及《国家发展改革委关于进一步放开建设项目专业服务价格的通知》（发改价格〔2015〕299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西安市生态环境局新城分局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西安市生态环境局新城分局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西安市生态环境局新城分局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联系电话：15191081735</w:t>
      </w:r>
    </w:p>
    <w:p>
      <w:pPr>
        <w:pStyle w:val="null3"/>
      </w:pPr>
      <w:r>
        <w:rPr>
          <w:rFonts w:ascii="仿宋_GB2312" w:hAnsi="仿宋_GB2312" w:cs="仿宋_GB2312" w:eastAsia="仿宋_GB2312"/>
        </w:rPr>
        <w:t>地址：陕西省西安市莲湖区唐延路北段20号太和时代广场C座206室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职工食堂委托管理服务，包括但不限于餐饮供应、人员管理、卫生保洁、安全管理等，在国家法定工作日和甲方提出的特殊时段提供餐饮服务。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327,800.00</w:t>
      </w:r>
    </w:p>
    <w:p>
      <w:pPr>
        <w:pStyle w:val="null3"/>
      </w:pPr>
      <w:r>
        <w:rPr>
          <w:rFonts w:ascii="仿宋_GB2312" w:hAnsi="仿宋_GB2312" w:cs="仿宋_GB2312" w:eastAsia="仿宋_GB2312"/>
        </w:rPr>
        <w:t>采购包最高限价（元）: 327,800.00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327800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标的名称：327800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left="120"/>
              <w:jc w:val="both"/>
            </w:pPr>
            <w:r>
              <w:rPr>
                <w:rFonts w:ascii="仿宋_GB2312" w:hAnsi="仿宋_GB2312" w:cs="仿宋_GB2312" w:eastAsia="仿宋_GB2312"/>
                <w:b/>
              </w:rPr>
              <w:t>本项目标的名称为：食堂委托管理服务</w:t>
            </w:r>
          </w:p>
          <w:p>
            <w:pPr>
              <w:pStyle w:val="null3"/>
              <w:spacing w:before="105" w:after="105"/>
              <w:ind w:left="120"/>
              <w:jc w:val="both"/>
            </w:pPr>
            <w:r>
              <w:rPr>
                <w:rFonts w:ascii="仿宋_GB2312" w:hAnsi="仿宋_GB2312" w:cs="仿宋_GB2312" w:eastAsia="仿宋_GB2312"/>
                <w:sz w:val="21"/>
                <w:b/>
              </w:rPr>
              <w:t>一、用餐</w:t>
            </w:r>
            <w:r>
              <w:rPr>
                <w:rFonts w:ascii="仿宋_GB2312" w:hAnsi="仿宋_GB2312" w:cs="仿宋_GB2312" w:eastAsia="仿宋_GB2312"/>
                <w:sz w:val="21"/>
                <w:b/>
              </w:rPr>
              <w:t xml:space="preserve">要求 </w:t>
            </w:r>
          </w:p>
          <w:p>
            <w:pPr>
              <w:pStyle w:val="null3"/>
              <w:spacing w:before="105" w:after="105"/>
              <w:ind w:left="720"/>
              <w:jc w:val="both"/>
              <w:outlineLvl w:val="0"/>
            </w:pPr>
            <w:r>
              <w:rPr>
                <w:rFonts w:ascii="仿宋_GB2312" w:hAnsi="仿宋_GB2312" w:cs="仿宋_GB2312" w:eastAsia="仿宋_GB2312"/>
                <w:sz w:val="21"/>
                <w:b/>
              </w:rPr>
              <w:t>用餐次数</w:t>
            </w:r>
            <w:r>
              <w:rPr>
                <w:rFonts w:ascii="仿宋_GB2312" w:hAnsi="仿宋_GB2312" w:cs="仿宋_GB2312" w:eastAsia="仿宋_GB2312"/>
                <w:sz w:val="21"/>
                <w:b/>
              </w:rPr>
              <w:t>：每日</w:t>
            </w:r>
            <w:r>
              <w:rPr>
                <w:rFonts w:ascii="仿宋_GB2312" w:hAnsi="仿宋_GB2312" w:cs="仿宋_GB2312" w:eastAsia="仿宋_GB2312"/>
                <w:sz w:val="21"/>
                <w:b/>
              </w:rPr>
              <w:t>2餐</w:t>
            </w:r>
            <w:r>
              <w:rPr>
                <w:rFonts w:ascii="仿宋_GB2312" w:hAnsi="仿宋_GB2312" w:cs="仿宋_GB2312" w:eastAsia="仿宋_GB2312"/>
                <w:sz w:val="21"/>
                <w:b/>
              </w:rPr>
              <w:t>（</w:t>
            </w:r>
            <w:r>
              <w:rPr>
                <w:rFonts w:ascii="仿宋_GB2312" w:hAnsi="仿宋_GB2312" w:cs="仿宋_GB2312" w:eastAsia="仿宋_GB2312"/>
                <w:sz w:val="21"/>
                <w:b/>
              </w:rPr>
              <w:t>早餐</w:t>
            </w:r>
            <w:r>
              <w:rPr>
                <w:rFonts w:ascii="仿宋_GB2312" w:hAnsi="仿宋_GB2312" w:cs="仿宋_GB2312" w:eastAsia="仿宋_GB2312"/>
                <w:sz w:val="21"/>
                <w:b/>
              </w:rPr>
              <w:t>、午餐</w:t>
            </w:r>
            <w:r>
              <w:rPr>
                <w:rFonts w:ascii="仿宋_GB2312" w:hAnsi="仿宋_GB2312" w:cs="仿宋_GB2312" w:eastAsia="仿宋_GB2312"/>
                <w:sz w:val="21"/>
                <w:b/>
              </w:rPr>
              <w:t>；</w:t>
            </w:r>
            <w:r>
              <w:rPr>
                <w:rFonts w:ascii="仿宋_GB2312" w:hAnsi="仿宋_GB2312" w:cs="仿宋_GB2312" w:eastAsia="仿宋_GB2312"/>
                <w:sz w:val="21"/>
                <w:b/>
              </w:rPr>
              <w:t>每月一次</w:t>
            </w:r>
            <w:r>
              <w:rPr>
                <w:rFonts w:ascii="仿宋_GB2312" w:hAnsi="仿宋_GB2312" w:cs="仿宋_GB2312" w:eastAsia="仿宋_GB2312"/>
                <w:sz w:val="21"/>
                <w:b/>
              </w:rPr>
              <w:t>集体会</w:t>
            </w:r>
            <w:r>
              <w:rPr>
                <w:rFonts w:ascii="仿宋_GB2312" w:hAnsi="仿宋_GB2312" w:cs="仿宋_GB2312" w:eastAsia="仿宋_GB2312"/>
                <w:sz w:val="21"/>
                <w:b/>
              </w:rPr>
              <w:t>餐</w:t>
            </w:r>
            <w:r>
              <w:rPr>
                <w:rFonts w:ascii="仿宋_GB2312" w:hAnsi="仿宋_GB2312" w:cs="仿宋_GB2312" w:eastAsia="仿宋_GB2312"/>
                <w:sz w:val="21"/>
                <w:b/>
              </w:rPr>
              <w:t>，</w:t>
            </w:r>
            <w:r>
              <w:rPr>
                <w:rFonts w:ascii="仿宋_GB2312" w:hAnsi="仿宋_GB2312" w:cs="仿宋_GB2312" w:eastAsia="仿宋_GB2312"/>
                <w:sz w:val="21"/>
                <w:b/>
              </w:rPr>
              <w:t>集体</w:t>
            </w:r>
            <w:r>
              <w:rPr>
                <w:rFonts w:ascii="仿宋_GB2312" w:hAnsi="仿宋_GB2312" w:cs="仿宋_GB2312" w:eastAsia="仿宋_GB2312"/>
                <w:sz w:val="21"/>
                <w:b/>
              </w:rPr>
              <w:t>会</w:t>
            </w:r>
            <w:r>
              <w:rPr>
                <w:rFonts w:ascii="仿宋_GB2312" w:hAnsi="仿宋_GB2312" w:cs="仿宋_GB2312" w:eastAsia="仿宋_GB2312"/>
                <w:sz w:val="21"/>
                <w:b/>
              </w:rPr>
              <w:t>餐标准高于日常）</w:t>
            </w:r>
          </w:p>
          <w:p>
            <w:pPr>
              <w:pStyle w:val="null3"/>
              <w:spacing w:before="105" w:after="105"/>
              <w:ind w:left="720"/>
              <w:jc w:val="both"/>
              <w:outlineLvl w:val="0"/>
            </w:pPr>
            <w:r>
              <w:rPr>
                <w:rFonts w:ascii="仿宋_GB2312" w:hAnsi="仿宋_GB2312" w:cs="仿宋_GB2312" w:eastAsia="仿宋_GB2312"/>
                <w:sz w:val="21"/>
                <w:b/>
              </w:rPr>
              <w:t>服务期：</w:t>
            </w:r>
            <w:r>
              <w:rPr>
                <w:rFonts w:ascii="仿宋_GB2312" w:hAnsi="仿宋_GB2312" w:cs="仿宋_GB2312" w:eastAsia="仿宋_GB2312"/>
                <w:sz w:val="21"/>
                <w:b/>
              </w:rPr>
              <w:t>1</w:t>
            </w:r>
            <w:r>
              <w:rPr>
                <w:rFonts w:ascii="仿宋_GB2312" w:hAnsi="仿宋_GB2312" w:cs="仿宋_GB2312" w:eastAsia="仿宋_GB2312"/>
                <w:sz w:val="21"/>
                <w:b/>
              </w:rPr>
              <w:t>年</w:t>
            </w:r>
          </w:p>
          <w:p>
            <w:pPr>
              <w:pStyle w:val="null3"/>
              <w:spacing w:before="105" w:after="105"/>
              <w:jc w:val="both"/>
              <w:outlineLvl w:val="0"/>
            </w:pPr>
            <w:r>
              <w:rPr>
                <w:rFonts w:ascii="仿宋_GB2312" w:hAnsi="仿宋_GB2312" w:cs="仿宋_GB2312" w:eastAsia="仿宋_GB2312"/>
                <w:sz w:val="21"/>
                <w:b/>
              </w:rPr>
              <w:t>二、场地要求</w:t>
            </w:r>
          </w:p>
          <w:p>
            <w:pPr>
              <w:pStyle w:val="null3"/>
              <w:spacing w:before="105" w:after="105"/>
              <w:jc w:val="both"/>
              <w:outlineLvl w:val="0"/>
            </w:pPr>
            <w:r>
              <w:rPr>
                <w:rFonts w:ascii="仿宋_GB2312" w:hAnsi="仿宋_GB2312" w:cs="仿宋_GB2312" w:eastAsia="仿宋_GB2312"/>
                <w:sz w:val="21"/>
                <w:b/>
              </w:rPr>
              <w:t xml:space="preserve">   餐厅所有设备、基础设施均由乙方管理使用，维修、维护费用</w:t>
            </w:r>
            <w:r>
              <w:rPr>
                <w:rFonts w:ascii="仿宋_GB2312" w:hAnsi="仿宋_GB2312" w:cs="仿宋_GB2312" w:eastAsia="仿宋_GB2312"/>
                <w:sz w:val="21"/>
                <w:b/>
              </w:rPr>
              <w:t>由乙方负责，</w:t>
            </w:r>
            <w:r>
              <w:rPr>
                <w:rFonts w:ascii="仿宋_GB2312" w:hAnsi="仿宋_GB2312" w:cs="仿宋_GB2312" w:eastAsia="仿宋_GB2312"/>
                <w:sz w:val="21"/>
                <w:b/>
              </w:rPr>
              <w:t>添置设备、设施费用由甲方负责。</w:t>
            </w:r>
          </w:p>
          <w:p>
            <w:pPr>
              <w:pStyle w:val="null3"/>
              <w:spacing w:before="105" w:after="105"/>
              <w:jc w:val="both"/>
              <w:outlineLvl w:val="0"/>
            </w:pPr>
            <w:r>
              <w:rPr>
                <w:rFonts w:ascii="仿宋_GB2312" w:hAnsi="仿宋_GB2312" w:cs="仿宋_GB2312" w:eastAsia="仿宋_GB2312"/>
                <w:sz w:val="21"/>
                <w:b/>
              </w:rPr>
              <w:t>三、质量要求</w:t>
            </w:r>
          </w:p>
          <w:p>
            <w:pPr>
              <w:pStyle w:val="null3"/>
              <w:spacing w:before="105" w:after="105"/>
              <w:jc w:val="both"/>
              <w:outlineLvl w:val="0"/>
            </w:pPr>
            <w:r>
              <w:rPr>
                <w:rFonts w:ascii="仿宋_GB2312" w:hAnsi="仿宋_GB2312" w:cs="仿宋_GB2312" w:eastAsia="仿宋_GB2312"/>
                <w:sz w:val="21"/>
                <w:b/>
              </w:rPr>
              <w:t>1.原材料(大米、面粉、食用油) 质量符合国家质量标准。</w:t>
            </w:r>
          </w:p>
          <w:p>
            <w:pPr>
              <w:pStyle w:val="null3"/>
              <w:spacing w:before="105" w:after="105"/>
              <w:jc w:val="both"/>
              <w:outlineLvl w:val="0"/>
            </w:pPr>
            <w:r>
              <w:rPr>
                <w:rFonts w:ascii="仿宋_GB2312" w:hAnsi="仿宋_GB2312" w:cs="仿宋_GB2312" w:eastAsia="仿宋_GB2312"/>
                <w:sz w:val="21"/>
                <w:b/>
              </w:rPr>
              <w:t>大米:国标二等或以上</w:t>
            </w:r>
            <w:r>
              <w:rPr>
                <w:rFonts w:ascii="仿宋_GB2312" w:hAnsi="仿宋_GB2312" w:cs="仿宋_GB2312" w:eastAsia="仿宋_GB2312"/>
                <w:sz w:val="21"/>
                <w:b/>
              </w:rPr>
              <w:t>；</w:t>
            </w:r>
            <w:r>
              <w:rPr>
                <w:rFonts w:ascii="仿宋_GB2312" w:hAnsi="仿宋_GB2312" w:cs="仿宋_GB2312" w:eastAsia="仿宋_GB2312"/>
                <w:sz w:val="21"/>
                <w:b/>
              </w:rPr>
              <w:t>包装袋上有注册商标及QS标志，有检验合格证、生产日期和保质期</w:t>
            </w:r>
            <w:r>
              <w:rPr>
                <w:rFonts w:ascii="仿宋_GB2312" w:hAnsi="仿宋_GB2312" w:cs="仿宋_GB2312" w:eastAsia="仿宋_GB2312"/>
                <w:sz w:val="21"/>
                <w:b/>
              </w:rPr>
              <w:t>；</w:t>
            </w:r>
          </w:p>
          <w:p>
            <w:pPr>
              <w:pStyle w:val="null3"/>
              <w:spacing w:before="105" w:after="105"/>
              <w:jc w:val="both"/>
              <w:outlineLvl w:val="0"/>
            </w:pPr>
            <w:r>
              <w:rPr>
                <w:rFonts w:ascii="仿宋_GB2312" w:hAnsi="仿宋_GB2312" w:cs="仿宋_GB2312" w:eastAsia="仿宋_GB2312"/>
                <w:sz w:val="21"/>
                <w:b/>
              </w:rPr>
              <w:t>面粉:二等或以上</w:t>
            </w:r>
            <w:r>
              <w:rPr>
                <w:rFonts w:ascii="仿宋_GB2312" w:hAnsi="仿宋_GB2312" w:cs="仿宋_GB2312" w:eastAsia="仿宋_GB2312"/>
                <w:sz w:val="21"/>
                <w:b/>
              </w:rPr>
              <w:t>；</w:t>
            </w:r>
            <w:r>
              <w:rPr>
                <w:rFonts w:ascii="仿宋_GB2312" w:hAnsi="仿宋_GB2312" w:cs="仿宋_GB2312" w:eastAsia="仿宋_GB2312"/>
                <w:sz w:val="21"/>
                <w:b/>
              </w:rPr>
              <w:t>包装袋上有注册商标，有检验合格证、生产日期和保质期</w:t>
            </w:r>
            <w:r>
              <w:rPr>
                <w:rFonts w:ascii="仿宋_GB2312" w:hAnsi="仿宋_GB2312" w:cs="仿宋_GB2312" w:eastAsia="仿宋_GB2312"/>
                <w:sz w:val="21"/>
                <w:b/>
              </w:rPr>
              <w:t>；</w:t>
            </w:r>
          </w:p>
          <w:p>
            <w:pPr>
              <w:pStyle w:val="null3"/>
              <w:spacing w:before="105" w:after="105"/>
              <w:jc w:val="both"/>
              <w:outlineLvl w:val="0"/>
            </w:pPr>
            <w:r>
              <w:rPr>
                <w:rFonts w:ascii="仿宋_GB2312" w:hAnsi="仿宋_GB2312" w:cs="仿宋_GB2312" w:eastAsia="仿宋_GB2312"/>
                <w:sz w:val="21"/>
                <w:b/>
              </w:rPr>
              <w:t>食用油: 国标三级或以上（非转基因）；包装上有注册商标，有检验合格证、生产日期和保质期。</w:t>
            </w:r>
          </w:p>
          <w:p>
            <w:pPr>
              <w:pStyle w:val="null3"/>
              <w:spacing w:before="105" w:after="105"/>
              <w:jc w:val="both"/>
              <w:outlineLvl w:val="0"/>
            </w:pPr>
            <w:r>
              <w:rPr>
                <w:rFonts w:ascii="仿宋_GB2312" w:hAnsi="仿宋_GB2312" w:cs="仿宋_GB2312" w:eastAsia="仿宋_GB2312"/>
                <w:sz w:val="21"/>
                <w:b/>
              </w:rPr>
              <w:t>2. 牛奶、纯果汁、酸奶为正规生产企业的产品。独立包装，且产品包装上必须有完好的生产厂家、规格、出厂日期质保期等有效信息。</w:t>
            </w:r>
          </w:p>
          <w:p>
            <w:pPr>
              <w:pStyle w:val="null3"/>
              <w:spacing w:before="105" w:after="105"/>
              <w:jc w:val="both"/>
              <w:outlineLvl w:val="0"/>
            </w:pPr>
            <w:r>
              <w:rPr>
                <w:rFonts w:ascii="仿宋_GB2312" w:hAnsi="仿宋_GB2312" w:cs="仿宋_GB2312" w:eastAsia="仿宋_GB2312"/>
                <w:sz w:val="21"/>
                <w:b/>
              </w:rPr>
              <w:t>3.水果蔬菜必须认真清洗，定期或不定期出具农药残留检验合格报告，确保食品安全。</w:t>
            </w:r>
          </w:p>
          <w:p>
            <w:pPr>
              <w:pStyle w:val="null3"/>
              <w:spacing w:before="105" w:after="105"/>
              <w:jc w:val="both"/>
              <w:outlineLvl w:val="0"/>
            </w:pPr>
            <w:r>
              <w:rPr>
                <w:rFonts w:ascii="仿宋_GB2312" w:hAnsi="仿宋_GB2312" w:cs="仿宋_GB2312" w:eastAsia="仿宋_GB2312"/>
                <w:sz w:val="21"/>
                <w:b/>
              </w:rPr>
              <w:t>4.肉类食品须具有定点屠宰及动物检验检疫合格证明。</w:t>
            </w:r>
          </w:p>
          <w:p>
            <w:pPr>
              <w:pStyle w:val="null3"/>
              <w:spacing w:before="105" w:after="105"/>
              <w:jc w:val="both"/>
              <w:outlineLvl w:val="0"/>
            </w:pPr>
            <w:r>
              <w:rPr>
                <w:rFonts w:ascii="仿宋_GB2312" w:hAnsi="仿宋_GB2312" w:cs="仿宋_GB2312" w:eastAsia="仿宋_GB2312"/>
                <w:sz w:val="21"/>
                <w:b/>
              </w:rPr>
              <w:t>5.以上食材来源提供相关合法的来源证明材料。</w:t>
            </w:r>
          </w:p>
          <w:p>
            <w:pPr>
              <w:pStyle w:val="null3"/>
              <w:spacing w:before="105" w:after="105"/>
              <w:jc w:val="both"/>
              <w:outlineLvl w:val="0"/>
            </w:pPr>
            <w:r>
              <w:rPr>
                <w:rFonts w:ascii="仿宋_GB2312" w:hAnsi="仿宋_GB2312" w:cs="仿宋_GB2312" w:eastAsia="仿宋_GB2312"/>
                <w:sz w:val="21"/>
                <w:b/>
              </w:rPr>
              <w:t>四、食材采购方式</w:t>
            </w:r>
          </w:p>
          <w:p>
            <w:pPr>
              <w:pStyle w:val="null3"/>
              <w:spacing w:before="105" w:after="105"/>
              <w:jc w:val="both"/>
              <w:outlineLvl w:val="0"/>
            </w:pPr>
            <w:r>
              <w:rPr>
                <w:rFonts w:ascii="仿宋_GB2312" w:hAnsi="仿宋_GB2312" w:cs="仿宋_GB2312" w:eastAsia="仿宋_GB2312"/>
                <w:sz w:val="21"/>
                <w:b/>
              </w:rPr>
              <w:t>食堂采购全部委托</w:t>
            </w:r>
            <w:r>
              <w:rPr>
                <w:rFonts w:ascii="仿宋_GB2312" w:hAnsi="仿宋_GB2312" w:cs="仿宋_GB2312" w:eastAsia="仿宋_GB2312"/>
                <w:sz w:val="21"/>
                <w:b/>
              </w:rPr>
              <w:t>成交供应商</w:t>
            </w:r>
            <w:r>
              <w:rPr>
                <w:rFonts w:ascii="仿宋_GB2312" w:hAnsi="仿宋_GB2312" w:cs="仿宋_GB2312" w:eastAsia="仿宋_GB2312"/>
                <w:sz w:val="21"/>
                <w:b/>
              </w:rPr>
              <w:t>完成，</w:t>
            </w:r>
            <w:r>
              <w:rPr>
                <w:rFonts w:ascii="仿宋_GB2312" w:hAnsi="仿宋_GB2312" w:cs="仿宋_GB2312" w:eastAsia="仿宋_GB2312"/>
                <w:sz w:val="21"/>
                <w:b/>
              </w:rPr>
              <w:t>成交供应商</w:t>
            </w:r>
            <w:r>
              <w:rPr>
                <w:rFonts w:ascii="仿宋_GB2312" w:hAnsi="仿宋_GB2312" w:cs="仿宋_GB2312" w:eastAsia="仿宋_GB2312"/>
                <w:sz w:val="21"/>
                <w:b/>
              </w:rPr>
              <w:t>负责对采购食材质量</w:t>
            </w:r>
            <w:r>
              <w:rPr>
                <w:rFonts w:ascii="仿宋_GB2312" w:hAnsi="仿宋_GB2312" w:cs="仿宋_GB2312" w:eastAsia="仿宋_GB2312"/>
                <w:sz w:val="21"/>
                <w:b/>
              </w:rPr>
              <w:t>、</w:t>
            </w:r>
            <w:r>
              <w:rPr>
                <w:rFonts w:ascii="仿宋_GB2312" w:hAnsi="仿宋_GB2312" w:cs="仿宋_GB2312" w:eastAsia="仿宋_GB2312"/>
                <w:sz w:val="21"/>
                <w:b/>
              </w:rPr>
              <w:t>进货渠道等</w:t>
            </w:r>
            <w:r>
              <w:rPr>
                <w:rFonts w:ascii="仿宋_GB2312" w:hAnsi="仿宋_GB2312" w:cs="仿宋_GB2312" w:eastAsia="仿宋_GB2312"/>
                <w:sz w:val="21"/>
                <w:b/>
              </w:rPr>
              <w:t>进行检查，采购人定期抽查。</w:t>
            </w:r>
            <w:r>
              <w:rPr>
                <w:rFonts w:ascii="仿宋_GB2312" w:hAnsi="仿宋_GB2312" w:cs="仿宋_GB2312" w:eastAsia="仿宋_GB2312"/>
                <w:sz w:val="21"/>
                <w:b/>
              </w:rPr>
              <w:t>所有原料供货商必须拥有正规合法的资质条件，如发现来源渠道不明，不符合食品安全的采购货物，采购人有权要求</w:t>
            </w:r>
            <w:r>
              <w:rPr>
                <w:rFonts w:ascii="仿宋_GB2312" w:hAnsi="仿宋_GB2312" w:cs="仿宋_GB2312" w:eastAsia="仿宋_GB2312"/>
                <w:sz w:val="21"/>
                <w:b/>
              </w:rPr>
              <w:t>成交供应商</w:t>
            </w:r>
            <w:r>
              <w:rPr>
                <w:rFonts w:ascii="仿宋_GB2312" w:hAnsi="仿宋_GB2312" w:cs="仿宋_GB2312" w:eastAsia="仿宋_GB2312"/>
                <w:sz w:val="21"/>
                <w:b/>
              </w:rPr>
              <w:t>进行退换货，并对</w:t>
            </w:r>
            <w:r>
              <w:rPr>
                <w:rFonts w:ascii="仿宋_GB2312" w:hAnsi="仿宋_GB2312" w:cs="仿宋_GB2312" w:eastAsia="仿宋_GB2312"/>
                <w:sz w:val="21"/>
                <w:b/>
              </w:rPr>
              <w:t>成交供应商</w:t>
            </w:r>
            <w:r>
              <w:rPr>
                <w:rFonts w:ascii="仿宋_GB2312" w:hAnsi="仿宋_GB2312" w:cs="仿宋_GB2312" w:eastAsia="仿宋_GB2312"/>
                <w:sz w:val="21"/>
                <w:b/>
              </w:rPr>
              <w:t>进行处罚，严重时采购人可提前解除与</w:t>
            </w:r>
            <w:r>
              <w:rPr>
                <w:rFonts w:ascii="仿宋_GB2312" w:hAnsi="仿宋_GB2312" w:cs="仿宋_GB2312" w:eastAsia="仿宋_GB2312"/>
                <w:sz w:val="21"/>
                <w:b/>
              </w:rPr>
              <w:t>成交供应商</w:t>
            </w:r>
            <w:r>
              <w:rPr>
                <w:rFonts w:ascii="仿宋_GB2312" w:hAnsi="仿宋_GB2312" w:cs="仿宋_GB2312" w:eastAsia="仿宋_GB2312"/>
                <w:sz w:val="21"/>
                <w:b/>
              </w:rPr>
              <w:t>合作。</w:t>
            </w:r>
            <w:r>
              <w:rPr>
                <w:rFonts w:ascii="仿宋_GB2312" w:hAnsi="仿宋_GB2312" w:cs="仿宋_GB2312" w:eastAsia="仿宋_GB2312"/>
                <w:sz w:val="21"/>
                <w:b/>
              </w:rPr>
              <w:t>成交供应商</w:t>
            </w:r>
            <w:r>
              <w:rPr>
                <w:rFonts w:ascii="仿宋_GB2312" w:hAnsi="仿宋_GB2312" w:cs="仿宋_GB2312" w:eastAsia="仿宋_GB2312"/>
                <w:sz w:val="21"/>
                <w:b/>
              </w:rPr>
              <w:t xml:space="preserve">对每日加工食材要进行留样，以便发生食品安全问题便于查找原因及进行追溯。 </w:t>
            </w:r>
          </w:p>
          <w:p>
            <w:pPr>
              <w:pStyle w:val="null3"/>
              <w:spacing w:before="105" w:after="105"/>
              <w:jc w:val="both"/>
              <w:outlineLvl w:val="0"/>
            </w:pPr>
            <w:r>
              <w:rPr>
                <w:rFonts w:ascii="仿宋_GB2312" w:hAnsi="仿宋_GB2312" w:cs="仿宋_GB2312" w:eastAsia="仿宋_GB2312"/>
                <w:sz w:val="21"/>
                <w:b/>
              </w:rPr>
              <w:t xml:space="preserve">五、服务要求 </w:t>
            </w:r>
          </w:p>
          <w:p>
            <w:pPr>
              <w:pStyle w:val="null3"/>
              <w:spacing w:before="105" w:after="105"/>
              <w:jc w:val="both"/>
              <w:outlineLvl w:val="0"/>
            </w:pPr>
            <w:r>
              <w:rPr>
                <w:rFonts w:ascii="仿宋_GB2312" w:hAnsi="仿宋_GB2312" w:cs="仿宋_GB2312" w:eastAsia="仿宋_GB2312"/>
                <w:sz w:val="21"/>
                <w:b/>
              </w:rPr>
              <w:t>1.依据签订的餐饮服务协议，企业依照法律、法规、规章、食品安全标准以及合同约定进行经营，对食品安全负责，并接受采购人的监督以及监管等部门日常检查。</w:t>
            </w:r>
          </w:p>
          <w:p>
            <w:pPr>
              <w:pStyle w:val="null3"/>
              <w:spacing w:before="105" w:after="105"/>
              <w:jc w:val="both"/>
              <w:outlineLvl w:val="0"/>
            </w:pPr>
            <w:r>
              <w:rPr>
                <w:rFonts w:ascii="仿宋_GB2312" w:hAnsi="仿宋_GB2312" w:cs="仿宋_GB2312" w:eastAsia="仿宋_GB2312"/>
                <w:sz w:val="21"/>
                <w:b/>
              </w:rPr>
              <w:t>2.建立从业人员审核及培训制度。餐饮工作人员上岗前必须进行审核及体检。所有工作人员花名册、健康证、身份证复印件报采购人备案。制定从业人员培训制度和组织培训，培训结束后及时评估培训效果，并建立人员培训档案。</w:t>
            </w:r>
          </w:p>
          <w:p>
            <w:pPr>
              <w:pStyle w:val="null3"/>
              <w:spacing w:before="105" w:after="105"/>
              <w:jc w:val="both"/>
              <w:outlineLvl w:val="0"/>
            </w:pPr>
            <w:r>
              <w:rPr>
                <w:rFonts w:ascii="仿宋_GB2312" w:hAnsi="仿宋_GB2312" w:cs="仿宋_GB2312" w:eastAsia="仿宋_GB2312"/>
                <w:sz w:val="21"/>
                <w:b/>
              </w:rPr>
              <w:t>3.</w:t>
            </w:r>
            <w:r>
              <w:rPr>
                <w:rFonts w:ascii="仿宋_GB2312" w:hAnsi="仿宋_GB2312" w:cs="仿宋_GB2312" w:eastAsia="仿宋_GB2312"/>
                <w:sz w:val="21"/>
                <w:b/>
              </w:rPr>
              <w:t>成交供应商</w:t>
            </w:r>
            <w:r>
              <w:rPr>
                <w:rFonts w:ascii="仿宋_GB2312" w:hAnsi="仿宋_GB2312" w:cs="仿宋_GB2312" w:eastAsia="仿宋_GB2312"/>
                <w:sz w:val="21"/>
                <w:b/>
              </w:rPr>
              <w:t>设立应具备食品安全管理机构，设立专职食品安全管理员，严格把控加工场所制作流程，防止待加工食品与直接入口食品、原料与成品或者半成品交叉污染，避免食品接触有毒物、不洁物品。</w:t>
            </w:r>
          </w:p>
          <w:p>
            <w:pPr>
              <w:pStyle w:val="null3"/>
              <w:spacing w:before="105" w:after="105"/>
              <w:jc w:val="both"/>
              <w:outlineLvl w:val="0"/>
            </w:pPr>
            <w:r>
              <w:rPr>
                <w:rFonts w:ascii="仿宋_GB2312" w:hAnsi="仿宋_GB2312" w:cs="仿宋_GB2312" w:eastAsia="仿宋_GB2312"/>
                <w:sz w:val="21"/>
                <w:b/>
              </w:rPr>
              <w:t>4.建立原材料采购验收制度。由</w:t>
            </w:r>
            <w:r>
              <w:rPr>
                <w:rFonts w:ascii="仿宋_GB2312" w:hAnsi="仿宋_GB2312" w:cs="仿宋_GB2312" w:eastAsia="仿宋_GB2312"/>
                <w:sz w:val="21"/>
                <w:b/>
              </w:rPr>
              <w:t>成交供应商</w:t>
            </w:r>
            <w:r>
              <w:rPr>
                <w:rFonts w:ascii="仿宋_GB2312" w:hAnsi="仿宋_GB2312" w:cs="仿宋_GB2312" w:eastAsia="仿宋_GB2312"/>
                <w:sz w:val="21"/>
                <w:b/>
              </w:rPr>
              <w:t>统一采购把关原材料采购，对肉、蛋、奶、油、米、面等大宗食材采合格产品，蔬菜、水果等副食品供货商具备合法资质。</w:t>
            </w:r>
          </w:p>
          <w:p>
            <w:pPr>
              <w:pStyle w:val="null3"/>
              <w:spacing w:before="105" w:after="105"/>
              <w:jc w:val="both"/>
              <w:outlineLvl w:val="0"/>
            </w:pPr>
            <w:r>
              <w:rPr>
                <w:rFonts w:ascii="仿宋_GB2312" w:hAnsi="仿宋_GB2312" w:cs="仿宋_GB2312" w:eastAsia="仿宋_GB2312"/>
                <w:sz w:val="21"/>
                <w:b/>
              </w:rPr>
              <w:t>5.建立原料存贮制度，设置原材料存放区、生产加工区、原材料储存区、食品配送区等场所，加工、储藏设施设备齐全，冷藏设备温度0～10℃，冷冻设备－20℃～－1℃，确保原材料及半成品保鲜存放。</w:t>
            </w:r>
          </w:p>
          <w:p>
            <w:pPr>
              <w:pStyle w:val="null3"/>
              <w:spacing w:before="105" w:after="105"/>
              <w:jc w:val="both"/>
              <w:outlineLvl w:val="0"/>
            </w:pPr>
            <w:r>
              <w:rPr>
                <w:rFonts w:ascii="仿宋_GB2312" w:hAnsi="仿宋_GB2312" w:cs="仿宋_GB2312" w:eastAsia="仿宋_GB2312"/>
                <w:sz w:val="21"/>
                <w:b/>
              </w:rPr>
              <w:t>6.落实国家卫建委“减盐减油减糖”要求。</w:t>
            </w:r>
            <w:r>
              <w:rPr>
                <w:rFonts w:ascii="仿宋_GB2312" w:hAnsi="仿宋_GB2312" w:cs="仿宋_GB2312" w:eastAsia="仿宋_GB2312"/>
                <w:sz w:val="21"/>
                <w:b/>
              </w:rPr>
              <w:t>成交供应商</w:t>
            </w:r>
            <w:r>
              <w:rPr>
                <w:rFonts w:ascii="仿宋_GB2312" w:hAnsi="仿宋_GB2312" w:cs="仿宋_GB2312" w:eastAsia="仿宋_GB2312"/>
                <w:sz w:val="21"/>
                <w:b/>
              </w:rPr>
              <w:t>应选择低盐低油低糖的菜和烹饪方式，严格限制高盐高油高糖菜品的供应。在食堂内规范张贴各类营养健康标识，供应新鲜水果、粗杂粮和蛋、奶等低盐低油低糖的食品。</w:t>
            </w:r>
          </w:p>
          <w:p>
            <w:pPr>
              <w:pStyle w:val="null3"/>
              <w:spacing w:before="105" w:after="105"/>
              <w:jc w:val="both"/>
              <w:outlineLvl w:val="0"/>
            </w:pPr>
            <w:r>
              <w:rPr>
                <w:rFonts w:ascii="仿宋_GB2312" w:hAnsi="仿宋_GB2312" w:cs="仿宋_GB2312" w:eastAsia="仿宋_GB2312"/>
                <w:sz w:val="21"/>
                <w:b/>
              </w:rPr>
              <w:t>7</w:t>
            </w:r>
            <w:r>
              <w:rPr>
                <w:rFonts w:ascii="仿宋_GB2312" w:hAnsi="仿宋_GB2312" w:cs="仿宋_GB2312" w:eastAsia="仿宋_GB2312"/>
                <w:sz w:val="21"/>
                <w:b/>
              </w:rPr>
              <w:t>.严格落实留样制度。</w:t>
            </w:r>
            <w:r>
              <w:rPr>
                <w:rFonts w:ascii="仿宋_GB2312" w:hAnsi="仿宋_GB2312" w:cs="仿宋_GB2312" w:eastAsia="仿宋_GB2312"/>
                <w:sz w:val="21"/>
                <w:b/>
              </w:rPr>
              <w:t>成交供应商</w:t>
            </w:r>
            <w:r>
              <w:rPr>
                <w:rFonts w:ascii="仿宋_GB2312" w:hAnsi="仿宋_GB2312" w:cs="仿宋_GB2312" w:eastAsia="仿宋_GB2312"/>
                <w:sz w:val="21"/>
                <w:b/>
              </w:rPr>
              <w:t>应当对每餐加工制作的每种食品成品进行留样，每个品种留样量应当满足检验需要，不得少于 200克，并记录留样食品名称、留样数量、留样时间、留样人员等。留样食品应当由专柜冷藏保存48小时以上。</w:t>
            </w:r>
          </w:p>
          <w:p>
            <w:pPr>
              <w:pStyle w:val="null3"/>
              <w:spacing w:before="105" w:after="105"/>
              <w:jc w:val="both"/>
              <w:outlineLvl w:val="0"/>
            </w:pPr>
            <w:r>
              <w:rPr>
                <w:rFonts w:ascii="仿宋_GB2312" w:hAnsi="仿宋_GB2312" w:cs="仿宋_GB2312" w:eastAsia="仿宋_GB2312"/>
                <w:sz w:val="21"/>
                <w:b/>
              </w:rPr>
              <w:t>8</w:t>
            </w:r>
            <w:r>
              <w:rPr>
                <w:rFonts w:ascii="仿宋_GB2312" w:hAnsi="仿宋_GB2312" w:cs="仿宋_GB2312" w:eastAsia="仿宋_GB2312"/>
                <w:sz w:val="21"/>
                <w:b/>
              </w:rPr>
              <w:t>.建立食品、食品添加剂和食品相关产品进货查验记录制度，如实准确记录名称、规格、数量、生产日期或者生产批号、保质期、进货日期以及供货者名称、地址、联系方式等内容，并保留载有上述信息的相关凭证，严禁采购国家食品安全法规定的违禁产品。建立食品安全追溯体系，如实、准确、完整记录并保存食品进货查验等信息，保证食品可追溯。</w:t>
            </w:r>
          </w:p>
          <w:p>
            <w:pPr>
              <w:pStyle w:val="null3"/>
              <w:spacing w:before="105" w:after="105"/>
              <w:jc w:val="both"/>
              <w:outlineLvl w:val="0"/>
            </w:pPr>
            <w:r>
              <w:rPr>
                <w:rFonts w:ascii="仿宋_GB2312" w:hAnsi="仿宋_GB2312" w:cs="仿宋_GB2312" w:eastAsia="仿宋_GB2312"/>
                <w:sz w:val="21"/>
                <w:b/>
              </w:rPr>
              <w:t>9.成交供应商保证使用维护机械设备，确保始终处于良好状态。</w:t>
            </w:r>
          </w:p>
          <w:p>
            <w:pPr>
              <w:pStyle w:val="null3"/>
              <w:spacing w:before="105" w:after="105"/>
              <w:jc w:val="both"/>
              <w:outlineLvl w:val="0"/>
            </w:pPr>
            <w:r>
              <w:rPr>
                <w:rFonts w:ascii="仿宋_GB2312" w:hAnsi="仿宋_GB2312" w:cs="仿宋_GB2312" w:eastAsia="仿宋_GB2312"/>
                <w:sz w:val="21"/>
                <w:b/>
              </w:rPr>
              <w:t>10.制定餐(饮)具、厨用具、盛用具清洗消毒流程，严格按照《食品安全国家标准消毒餐(饮)具》的规定执行。</w:t>
            </w:r>
          </w:p>
          <w:p>
            <w:pPr>
              <w:pStyle w:val="null3"/>
              <w:spacing w:before="105" w:after="105"/>
              <w:jc w:val="both"/>
              <w:outlineLvl w:val="0"/>
            </w:pPr>
            <w:r>
              <w:rPr>
                <w:rFonts w:ascii="仿宋_GB2312" w:hAnsi="仿宋_GB2312" w:cs="仿宋_GB2312" w:eastAsia="仿宋_GB2312"/>
                <w:sz w:val="21"/>
                <w:b/>
              </w:rPr>
              <w:t>11.应急预案，成交供应商须制定食物中毒、重大传染病疫情、污染事故及其他不明原因的安全事件应急处置措施及方案。</w:t>
            </w:r>
          </w:p>
          <w:p>
            <w:pPr>
              <w:pStyle w:val="null3"/>
              <w:spacing w:before="105" w:after="105"/>
              <w:jc w:val="both"/>
              <w:outlineLvl w:val="0"/>
            </w:pPr>
            <w:r>
              <w:rPr>
                <w:rFonts w:ascii="仿宋_GB2312" w:hAnsi="仿宋_GB2312" w:cs="仿宋_GB2312" w:eastAsia="仿宋_GB2312"/>
                <w:sz w:val="21"/>
                <w:b/>
              </w:rPr>
              <w:t>12.如采购人用餐人数变化超过正负百分之五，采购人与成交供应商另行协商结算方案。</w:t>
            </w:r>
          </w:p>
          <w:p>
            <w:pPr>
              <w:pStyle w:val="null3"/>
              <w:spacing w:before="105" w:after="105"/>
              <w:jc w:val="both"/>
              <w:outlineLvl w:val="0"/>
            </w:pPr>
            <w:r>
              <w:rPr>
                <w:rFonts w:ascii="仿宋_GB2312" w:hAnsi="仿宋_GB2312" w:cs="仿宋_GB2312" w:eastAsia="仿宋_GB2312"/>
                <w:sz w:val="21"/>
                <w:b/>
              </w:rPr>
              <w:t>13.成交供应商拟派厨师长须经采购人试菜通过确定，一经确认，不得随意更换。</w:t>
            </w:r>
          </w:p>
          <w:p>
            <w:pPr>
              <w:pStyle w:val="null3"/>
              <w:spacing w:before="105" w:after="105"/>
              <w:jc w:val="both"/>
              <w:outlineLvl w:val="0"/>
            </w:pPr>
            <w:r>
              <w:rPr>
                <w:rFonts w:ascii="仿宋_GB2312" w:hAnsi="仿宋_GB2312" w:cs="仿宋_GB2312" w:eastAsia="仿宋_GB2312"/>
                <w:sz w:val="21"/>
                <w:b/>
              </w:rPr>
              <w:t>14.成交供应商应每周制定一周食谱交采购人确认。（根据天气状况以及市场实际供应情况可对当日菜品做相应调整）。</w:t>
            </w:r>
          </w:p>
          <w:p>
            <w:pPr>
              <w:pStyle w:val="null3"/>
              <w:spacing w:before="105" w:after="105"/>
              <w:jc w:val="both"/>
              <w:outlineLvl w:val="0"/>
            </w:pPr>
            <w:r>
              <w:rPr>
                <w:rFonts w:ascii="仿宋_GB2312" w:hAnsi="仿宋_GB2312" w:cs="仿宋_GB2312" w:eastAsia="仿宋_GB2312"/>
                <w:sz w:val="21"/>
                <w:b/>
              </w:rPr>
              <w:t xml:space="preserve">六、对人员的要求 </w:t>
            </w:r>
          </w:p>
          <w:p>
            <w:pPr>
              <w:pStyle w:val="null3"/>
              <w:spacing w:before="105" w:after="105"/>
              <w:jc w:val="both"/>
              <w:outlineLvl w:val="0"/>
            </w:pPr>
            <w:r>
              <w:rPr>
                <w:rFonts w:ascii="仿宋_GB2312" w:hAnsi="仿宋_GB2312" w:cs="仿宋_GB2312" w:eastAsia="仿宋_GB2312"/>
                <w:sz w:val="21"/>
                <w:b/>
              </w:rPr>
              <w:t>厨师长：5</w:t>
            </w:r>
            <w:r>
              <w:rPr>
                <w:rFonts w:ascii="仿宋_GB2312" w:hAnsi="仿宋_GB2312" w:cs="仿宋_GB2312" w:eastAsia="仿宋_GB2312"/>
                <w:sz w:val="21"/>
                <w:b/>
              </w:rPr>
              <w:t>5</w:t>
            </w:r>
            <w:r>
              <w:rPr>
                <w:rFonts w:ascii="仿宋_GB2312" w:hAnsi="仿宋_GB2312" w:cs="仿宋_GB2312" w:eastAsia="仿宋_GB2312"/>
                <w:sz w:val="21"/>
                <w:b/>
              </w:rPr>
              <w:t>周岁以内</w:t>
            </w:r>
            <w:r>
              <w:rPr>
                <w:rFonts w:ascii="仿宋_GB2312" w:hAnsi="仿宋_GB2312" w:cs="仿宋_GB2312" w:eastAsia="仿宋_GB2312"/>
                <w:sz w:val="21"/>
                <w:b/>
              </w:rPr>
              <w:t>，</w:t>
            </w:r>
            <w:r>
              <w:rPr>
                <w:rFonts w:ascii="仿宋_GB2312" w:hAnsi="仿宋_GB2312" w:cs="仿宋_GB2312" w:eastAsia="仿宋_GB2312"/>
                <w:sz w:val="21"/>
                <w:b/>
              </w:rPr>
              <w:t>★持有健康证</w:t>
            </w:r>
            <w:r>
              <w:rPr>
                <w:rFonts w:ascii="仿宋_GB2312" w:hAnsi="仿宋_GB2312" w:cs="仿宋_GB2312" w:eastAsia="仿宋_GB2312"/>
                <w:sz w:val="21"/>
                <w:b/>
              </w:rPr>
              <w:t>；</w:t>
            </w:r>
            <w:r>
              <w:rPr>
                <w:rFonts w:ascii="仿宋_GB2312" w:hAnsi="仿宋_GB2312" w:cs="仿宋_GB2312" w:eastAsia="仿宋_GB2312"/>
                <w:sz w:val="21"/>
                <w:b/>
              </w:rPr>
              <w:t xml:space="preserve">对菜品研发，菜肴的生产技术有丰富经验，具备较好的组织安排、协调管理能力； </w:t>
            </w:r>
          </w:p>
          <w:p>
            <w:pPr>
              <w:pStyle w:val="null3"/>
              <w:spacing w:before="105" w:after="105"/>
              <w:jc w:val="both"/>
              <w:outlineLvl w:val="0"/>
            </w:pPr>
            <w:r>
              <w:rPr>
                <w:rFonts w:ascii="仿宋_GB2312" w:hAnsi="仿宋_GB2312" w:cs="仿宋_GB2312" w:eastAsia="仿宋_GB2312"/>
                <w:sz w:val="21"/>
                <w:b/>
              </w:rPr>
              <w:t>烹饪厨师：5</w:t>
            </w:r>
            <w:r>
              <w:rPr>
                <w:rFonts w:ascii="仿宋_GB2312" w:hAnsi="仿宋_GB2312" w:cs="仿宋_GB2312" w:eastAsia="仿宋_GB2312"/>
                <w:sz w:val="21"/>
                <w:b/>
              </w:rPr>
              <w:t>5</w:t>
            </w:r>
            <w:r>
              <w:rPr>
                <w:rFonts w:ascii="仿宋_GB2312" w:hAnsi="仿宋_GB2312" w:cs="仿宋_GB2312" w:eastAsia="仿宋_GB2312"/>
                <w:sz w:val="21"/>
                <w:b/>
              </w:rPr>
              <w:t>周岁以内，★持有健康证；</w:t>
            </w:r>
          </w:p>
          <w:p>
            <w:pPr>
              <w:pStyle w:val="null3"/>
              <w:spacing w:before="105" w:after="105"/>
              <w:jc w:val="both"/>
              <w:outlineLvl w:val="0"/>
            </w:pPr>
            <w:r>
              <w:rPr>
                <w:rFonts w:ascii="仿宋_GB2312" w:hAnsi="仿宋_GB2312" w:cs="仿宋_GB2312" w:eastAsia="仿宋_GB2312"/>
                <w:sz w:val="21"/>
                <w:b/>
              </w:rPr>
              <w:t>面点师：5</w:t>
            </w:r>
            <w:r>
              <w:rPr>
                <w:rFonts w:ascii="仿宋_GB2312" w:hAnsi="仿宋_GB2312" w:cs="仿宋_GB2312" w:eastAsia="仿宋_GB2312"/>
                <w:sz w:val="21"/>
                <w:b/>
              </w:rPr>
              <w:t>5</w:t>
            </w:r>
            <w:r>
              <w:rPr>
                <w:rFonts w:ascii="仿宋_GB2312" w:hAnsi="仿宋_GB2312" w:cs="仿宋_GB2312" w:eastAsia="仿宋_GB2312"/>
                <w:sz w:val="21"/>
                <w:b/>
              </w:rPr>
              <w:t>周岁以内，★持有健康证；</w:t>
            </w:r>
          </w:p>
          <w:p>
            <w:pPr>
              <w:pStyle w:val="null3"/>
              <w:spacing w:before="105" w:after="105"/>
              <w:jc w:val="both"/>
              <w:outlineLvl w:val="0"/>
            </w:pPr>
            <w:r>
              <w:rPr>
                <w:rFonts w:ascii="仿宋_GB2312" w:hAnsi="仿宋_GB2312" w:cs="仿宋_GB2312" w:eastAsia="仿宋_GB2312"/>
                <w:sz w:val="21"/>
                <w:b/>
              </w:rPr>
              <w:t>营养师：5</w:t>
            </w:r>
            <w:r>
              <w:rPr>
                <w:rFonts w:ascii="仿宋_GB2312" w:hAnsi="仿宋_GB2312" w:cs="仿宋_GB2312" w:eastAsia="仿宋_GB2312"/>
                <w:sz w:val="21"/>
                <w:b/>
              </w:rPr>
              <w:t>5</w:t>
            </w:r>
            <w:r>
              <w:rPr>
                <w:rFonts w:ascii="仿宋_GB2312" w:hAnsi="仿宋_GB2312" w:cs="仿宋_GB2312" w:eastAsia="仿宋_GB2312"/>
                <w:sz w:val="21"/>
                <w:b/>
              </w:rPr>
              <w:t>周岁以内，★持有健康证。</w:t>
            </w:r>
          </w:p>
          <w:p>
            <w:pPr>
              <w:pStyle w:val="null3"/>
              <w:spacing w:before="105" w:after="105"/>
              <w:jc w:val="both"/>
              <w:outlineLvl w:val="0"/>
            </w:pPr>
            <w:r>
              <w:rPr>
                <w:rFonts w:ascii="仿宋_GB2312" w:hAnsi="仿宋_GB2312" w:cs="仿宋_GB2312" w:eastAsia="仿宋_GB2312"/>
                <w:sz w:val="21"/>
                <w:b/>
              </w:rPr>
              <w:t>帮厨人员：5</w:t>
            </w:r>
            <w:r>
              <w:rPr>
                <w:rFonts w:ascii="仿宋_GB2312" w:hAnsi="仿宋_GB2312" w:cs="仿宋_GB2312" w:eastAsia="仿宋_GB2312"/>
                <w:sz w:val="21"/>
                <w:b/>
              </w:rPr>
              <w:t>5</w:t>
            </w:r>
            <w:r>
              <w:rPr>
                <w:rFonts w:ascii="仿宋_GB2312" w:hAnsi="仿宋_GB2312" w:cs="仿宋_GB2312" w:eastAsia="仿宋_GB2312"/>
                <w:sz w:val="21"/>
                <w:b/>
              </w:rPr>
              <w:t>周岁以内</w:t>
            </w:r>
            <w:r>
              <w:rPr>
                <w:rFonts w:ascii="仿宋_GB2312" w:hAnsi="仿宋_GB2312" w:cs="仿宋_GB2312" w:eastAsia="仿宋_GB2312"/>
                <w:sz w:val="21"/>
                <w:b/>
              </w:rPr>
              <w:t>,</w:t>
            </w:r>
            <w:r>
              <w:rPr>
                <w:rFonts w:ascii="仿宋_GB2312" w:hAnsi="仿宋_GB2312" w:cs="仿宋_GB2312" w:eastAsia="仿宋_GB2312"/>
                <w:sz w:val="21"/>
                <w:b/>
              </w:rPr>
              <w:t>★持有健康证；有熟练的服务技能技巧和一定的应变能力，能妥善处理服务中出现的问题；掌握服务规程，了解各种菜肴的基本特点和简单的烹饪方法；工作主动、热情、责任心强，身体健康，仪表端庄</w:t>
            </w:r>
            <w:r>
              <w:rPr>
                <w:rFonts w:ascii="仿宋_GB2312" w:hAnsi="仿宋_GB2312" w:cs="仿宋_GB2312" w:eastAsia="仿宋_GB2312"/>
                <w:sz w:val="21"/>
                <w:b/>
              </w:rPr>
              <w:t>。</w:t>
            </w:r>
          </w:p>
          <w:p>
            <w:pPr>
              <w:pStyle w:val="null3"/>
              <w:spacing w:before="105" w:after="105"/>
              <w:jc w:val="both"/>
              <w:outlineLvl w:val="0"/>
            </w:pPr>
            <w:r>
              <w:rPr>
                <w:rFonts w:ascii="仿宋_GB2312" w:hAnsi="仿宋_GB2312" w:cs="仿宋_GB2312" w:eastAsia="仿宋_GB2312"/>
                <w:sz w:val="21"/>
                <w:b/>
              </w:rPr>
              <w:t>七、食谱要求</w:t>
            </w:r>
          </w:p>
          <w:p>
            <w:pPr>
              <w:pStyle w:val="null3"/>
              <w:spacing w:before="105" w:after="105"/>
              <w:jc w:val="both"/>
              <w:outlineLvl w:val="0"/>
            </w:pPr>
            <w:r>
              <w:rPr>
                <w:rFonts w:ascii="仿宋_GB2312" w:hAnsi="仿宋_GB2312" w:cs="仿宋_GB2312" w:eastAsia="仿宋_GB2312"/>
                <w:sz w:val="21"/>
                <w:b/>
              </w:rPr>
              <w:t>1.结合采购人单位职工生活饮食习惯，</w:t>
            </w:r>
            <w:r>
              <w:rPr>
                <w:rFonts w:ascii="仿宋_GB2312" w:hAnsi="仿宋_GB2312" w:cs="仿宋_GB2312" w:eastAsia="仿宋_GB2312"/>
                <w:sz w:val="21"/>
                <w:b/>
              </w:rPr>
              <w:t>成交供应商</w:t>
            </w:r>
            <w:r>
              <w:rPr>
                <w:rFonts w:ascii="仿宋_GB2312" w:hAnsi="仿宋_GB2312" w:cs="仿宋_GB2312" w:eastAsia="仿宋_GB2312"/>
                <w:sz w:val="21"/>
                <w:b/>
              </w:rPr>
              <w:t>拟定食谱，并征求采购人建议，最终确定食谱。</w:t>
            </w:r>
          </w:p>
          <w:p>
            <w:pPr>
              <w:pStyle w:val="null3"/>
              <w:spacing w:before="105" w:after="105"/>
              <w:jc w:val="both"/>
              <w:outlineLvl w:val="0"/>
            </w:pPr>
            <w:r>
              <w:rPr>
                <w:rFonts w:ascii="仿宋_GB2312" w:hAnsi="仿宋_GB2312" w:cs="仿宋_GB2312" w:eastAsia="仿宋_GB2312"/>
                <w:sz w:val="21"/>
                <w:b/>
              </w:rPr>
              <w:t>2.餐食标准:</w:t>
            </w:r>
          </w:p>
          <w:p>
            <w:pPr>
              <w:pStyle w:val="null3"/>
              <w:spacing w:before="105" w:after="105"/>
              <w:jc w:val="both"/>
              <w:outlineLvl w:val="0"/>
            </w:pPr>
            <w:r>
              <w:rPr>
                <w:rFonts w:ascii="仿宋_GB2312" w:hAnsi="仿宋_GB2312" w:cs="仿宋_GB2312" w:eastAsia="仿宋_GB2312"/>
                <w:sz w:val="21"/>
                <w:b/>
              </w:rPr>
              <w:t>早餐：</w:t>
            </w:r>
            <w:r>
              <w:rPr>
                <w:rFonts w:ascii="仿宋_GB2312" w:hAnsi="仿宋_GB2312" w:cs="仿宋_GB2312" w:eastAsia="仿宋_GB2312"/>
                <w:sz w:val="21"/>
                <w:b/>
              </w:rPr>
              <w:t>提供2种主食（包子、花卷、饼、馒头、杂粮等）；3个凉菜，2种特色小菜；每日提供鸡蛋；稀饭、豆浆、胡辣汤等汤食轮流供应。每周至少两次牛奶（酸奶）、水果。</w:t>
            </w:r>
          </w:p>
          <w:p>
            <w:pPr>
              <w:pStyle w:val="null3"/>
              <w:spacing w:before="105" w:after="105"/>
              <w:jc w:val="both"/>
              <w:outlineLvl w:val="0"/>
            </w:pPr>
            <w:r>
              <w:rPr>
                <w:rFonts w:ascii="仿宋_GB2312" w:hAnsi="仿宋_GB2312" w:cs="仿宋_GB2312" w:eastAsia="仿宋_GB2312"/>
                <w:sz w:val="21"/>
                <w:b/>
              </w:rPr>
              <w:t>午餐：每周两次米饭炒菜（其中菜品为：2荤2素、1款汤羹；两次面食：1款面条类(荤素)，两个凉菜，1种汤羹；一次小吃：凉皮、泡馍、米线、酸辣粉、饸络等各类小吃</w:t>
            </w:r>
            <w:r>
              <w:rPr>
                <w:rFonts w:ascii="仿宋_GB2312" w:hAnsi="仿宋_GB2312" w:cs="仿宋_GB2312" w:eastAsia="仿宋_GB2312"/>
                <w:sz w:val="21"/>
                <w:b/>
              </w:rPr>
              <w:t>，令搭配2个凉菜</w:t>
            </w:r>
            <w:r>
              <w:rPr>
                <w:rFonts w:ascii="仿宋_GB2312" w:hAnsi="仿宋_GB2312" w:cs="仿宋_GB2312" w:eastAsia="仿宋_GB2312"/>
                <w:sz w:val="21"/>
                <w:b/>
              </w:rPr>
              <w:t>。</w:t>
            </w:r>
          </w:p>
          <w:p>
            <w:pPr>
              <w:pStyle w:val="null3"/>
              <w:spacing w:before="105" w:after="105"/>
              <w:jc w:val="both"/>
              <w:outlineLvl w:val="0"/>
            </w:pPr>
            <w:r>
              <w:rPr>
                <w:rFonts w:ascii="仿宋_GB2312" w:hAnsi="仿宋_GB2312" w:cs="仿宋_GB2312" w:eastAsia="仿宋_GB2312"/>
                <w:sz w:val="21"/>
                <w:b/>
              </w:rPr>
              <w:t>八、其他要求</w:t>
            </w:r>
          </w:p>
          <w:p>
            <w:pPr>
              <w:pStyle w:val="null3"/>
              <w:spacing w:before="105" w:after="105"/>
              <w:jc w:val="both"/>
              <w:outlineLvl w:val="0"/>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严格落实国家相关规定以及国家食品卫生安全要求。食堂生产加工期间各类人员、车辆安全由</w:t>
            </w:r>
            <w:r>
              <w:rPr>
                <w:rFonts w:ascii="仿宋_GB2312" w:hAnsi="仿宋_GB2312" w:cs="仿宋_GB2312" w:eastAsia="仿宋_GB2312"/>
                <w:sz w:val="21"/>
                <w:b/>
              </w:rPr>
              <w:t>成交供应商</w:t>
            </w:r>
            <w:r>
              <w:rPr>
                <w:rFonts w:ascii="仿宋_GB2312" w:hAnsi="仿宋_GB2312" w:cs="仿宋_GB2312" w:eastAsia="仿宋_GB2312"/>
                <w:sz w:val="21"/>
                <w:b/>
              </w:rPr>
              <w:t>负责。</w:t>
            </w:r>
          </w:p>
          <w:p>
            <w:pPr>
              <w:pStyle w:val="null3"/>
              <w:spacing w:before="105" w:after="105"/>
              <w:jc w:val="both"/>
              <w:outlineLvl w:val="0"/>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成交供应商</w:t>
            </w:r>
            <w:r>
              <w:rPr>
                <w:rFonts w:ascii="仿宋_GB2312" w:hAnsi="仿宋_GB2312" w:cs="仿宋_GB2312" w:eastAsia="仿宋_GB2312"/>
                <w:sz w:val="21"/>
                <w:b/>
              </w:rPr>
              <w:t>应不定期接受市场监管部门对所提供产品的抽样检查，相关费用由</w:t>
            </w:r>
            <w:r>
              <w:rPr>
                <w:rFonts w:ascii="仿宋_GB2312" w:hAnsi="仿宋_GB2312" w:cs="仿宋_GB2312" w:eastAsia="仿宋_GB2312"/>
                <w:sz w:val="21"/>
                <w:b/>
              </w:rPr>
              <w:t>成交供应商</w:t>
            </w:r>
            <w:r>
              <w:rPr>
                <w:rFonts w:ascii="仿宋_GB2312" w:hAnsi="仿宋_GB2312" w:cs="仿宋_GB2312" w:eastAsia="仿宋_GB2312"/>
                <w:sz w:val="21"/>
                <w:b/>
              </w:rPr>
              <w:t>承担。</w:t>
            </w:r>
          </w:p>
          <w:p>
            <w:pPr>
              <w:pStyle w:val="null3"/>
              <w:spacing w:before="105" w:after="105"/>
              <w:jc w:val="both"/>
              <w:outlineLvl w:val="0"/>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成交供应商</w:t>
            </w:r>
            <w:r>
              <w:rPr>
                <w:rFonts w:ascii="仿宋_GB2312" w:hAnsi="仿宋_GB2312" w:cs="仿宋_GB2312" w:eastAsia="仿宋_GB2312"/>
                <w:sz w:val="21"/>
                <w:b/>
              </w:rPr>
              <w:t>应做出按照相关标准购买食品安全责任保险的承诺，并在中标后切实履行该承诺。</w:t>
            </w:r>
          </w:p>
          <w:p>
            <w:pPr>
              <w:pStyle w:val="null3"/>
              <w:spacing w:before="105" w:after="105"/>
              <w:jc w:val="both"/>
              <w:outlineLvl w:val="0"/>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成交供应商</w:t>
            </w:r>
            <w:r>
              <w:rPr>
                <w:rFonts w:ascii="仿宋_GB2312" w:hAnsi="仿宋_GB2312" w:cs="仿宋_GB2312" w:eastAsia="仿宋_GB2312"/>
                <w:sz w:val="21"/>
                <w:b/>
              </w:rPr>
              <w:t>对采购人的餐食供应及就餐秩序按照采购人要求实施全过程服务，采购人提供必要协助。</w:t>
            </w:r>
          </w:p>
          <w:p>
            <w:pPr>
              <w:pStyle w:val="null3"/>
              <w:spacing w:before="105" w:after="105"/>
              <w:jc w:val="both"/>
              <w:outlineLvl w:val="0"/>
            </w:pPr>
            <w:r>
              <w:rPr>
                <w:rFonts w:ascii="仿宋_GB2312" w:hAnsi="仿宋_GB2312" w:cs="仿宋_GB2312" w:eastAsia="仿宋_GB2312"/>
                <w:sz w:val="21"/>
                <w:b/>
              </w:rPr>
              <w:t>5.</w:t>
            </w:r>
            <w:r>
              <w:rPr>
                <w:rFonts w:ascii="仿宋_GB2312" w:hAnsi="仿宋_GB2312" w:cs="仿宋_GB2312" w:eastAsia="仿宋_GB2312"/>
                <w:sz w:val="21"/>
                <w:b/>
              </w:rPr>
              <w:t>成交供应商</w:t>
            </w:r>
            <w:r>
              <w:rPr>
                <w:rFonts w:ascii="仿宋_GB2312" w:hAnsi="仿宋_GB2312" w:cs="仿宋_GB2312" w:eastAsia="仿宋_GB2312"/>
                <w:sz w:val="21"/>
                <w:b/>
              </w:rPr>
              <w:t>应严格遵守《中华人民共和国食品安全法》等国家及所在地区行业的相关管理规定。服务期间未经采购人书面许可,</w:t>
            </w:r>
            <w:r>
              <w:rPr>
                <w:rFonts w:ascii="仿宋_GB2312" w:hAnsi="仿宋_GB2312" w:cs="仿宋_GB2312" w:eastAsia="仿宋_GB2312"/>
                <w:sz w:val="21"/>
                <w:b/>
              </w:rPr>
              <w:t>成交供应商</w:t>
            </w:r>
            <w:r>
              <w:rPr>
                <w:rFonts w:ascii="仿宋_GB2312" w:hAnsi="仿宋_GB2312" w:cs="仿宋_GB2312" w:eastAsia="仿宋_GB2312"/>
                <w:sz w:val="21"/>
                <w:b/>
              </w:rPr>
              <w:t>不得随意停止营业或不正常营业，由此造成的损失由</w:t>
            </w:r>
            <w:r>
              <w:rPr>
                <w:rFonts w:ascii="仿宋_GB2312" w:hAnsi="仿宋_GB2312" w:cs="仿宋_GB2312" w:eastAsia="仿宋_GB2312"/>
                <w:sz w:val="21"/>
                <w:b/>
              </w:rPr>
              <w:t>成交供应商</w:t>
            </w:r>
            <w:r>
              <w:rPr>
                <w:rFonts w:ascii="仿宋_GB2312" w:hAnsi="仿宋_GB2312" w:cs="仿宋_GB2312" w:eastAsia="仿宋_GB2312"/>
                <w:sz w:val="21"/>
                <w:b/>
              </w:rPr>
              <w:t>全部承担。</w:t>
            </w:r>
          </w:p>
          <w:p>
            <w:pPr>
              <w:pStyle w:val="null3"/>
              <w:spacing w:before="105" w:after="105"/>
              <w:jc w:val="both"/>
              <w:outlineLvl w:val="0"/>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成交供应商</w:t>
            </w:r>
            <w:r>
              <w:rPr>
                <w:rFonts w:ascii="仿宋_GB2312" w:hAnsi="仿宋_GB2312" w:cs="仿宋_GB2312" w:eastAsia="仿宋_GB2312"/>
                <w:sz w:val="21"/>
                <w:b/>
              </w:rPr>
              <w:t>在服务期间应合法经营，不得违反采购人的规章制度，不得从事有损于采购人利益和声誉的活动。</w:t>
            </w:r>
          </w:p>
          <w:p>
            <w:pPr>
              <w:pStyle w:val="null3"/>
              <w:spacing w:before="105" w:after="105"/>
              <w:jc w:val="both"/>
              <w:outlineLvl w:val="0"/>
            </w:pP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b/>
              </w:rPr>
              <w:t>采购人负责本项目运营所需的水、电费用，运营产生的燃气费用由</w:t>
            </w:r>
            <w:r>
              <w:rPr>
                <w:rFonts w:ascii="仿宋_GB2312" w:hAnsi="仿宋_GB2312" w:cs="仿宋_GB2312" w:eastAsia="仿宋_GB2312"/>
                <w:sz w:val="21"/>
                <w:b/>
              </w:rPr>
              <w:t>成交供应商</w:t>
            </w:r>
            <w:r>
              <w:rPr>
                <w:rFonts w:ascii="仿宋_GB2312" w:hAnsi="仿宋_GB2312" w:cs="仿宋_GB2312" w:eastAsia="仿宋_GB2312"/>
                <w:sz w:val="21"/>
                <w:b/>
              </w:rPr>
              <w:t>承担。</w:t>
            </w:r>
          </w:p>
          <w:p>
            <w:pPr>
              <w:pStyle w:val="null3"/>
              <w:spacing w:before="105" w:after="105"/>
              <w:jc w:val="both"/>
              <w:outlineLvl w:val="0"/>
            </w:pPr>
            <w:r>
              <w:rPr>
                <w:rFonts w:ascii="仿宋_GB2312" w:hAnsi="仿宋_GB2312" w:cs="仿宋_GB2312" w:eastAsia="仿宋_GB2312"/>
                <w:sz w:val="21"/>
                <w:b/>
              </w:rPr>
              <w:t>8.成交供应商自主经营，自负盈亏，运营中发生的其他费用，成交供应商自行支付。</w:t>
            </w:r>
          </w:p>
          <w:p>
            <w:pPr>
              <w:pStyle w:val="null3"/>
              <w:spacing w:before="105" w:after="105"/>
              <w:jc w:val="both"/>
              <w:outlineLvl w:val="0"/>
            </w:pPr>
            <w:r>
              <w:rPr>
                <w:rFonts w:ascii="仿宋_GB2312" w:hAnsi="仿宋_GB2312" w:cs="仿宋_GB2312" w:eastAsia="仿宋_GB2312"/>
                <w:sz w:val="21"/>
                <w:b/>
              </w:rPr>
              <w:t>9</w:t>
            </w:r>
            <w:r>
              <w:rPr>
                <w:rFonts w:ascii="仿宋_GB2312" w:hAnsi="仿宋_GB2312" w:cs="仿宋_GB2312" w:eastAsia="仿宋_GB2312"/>
                <w:sz w:val="21"/>
                <w:b/>
              </w:rPr>
              <w:t>.</w:t>
            </w:r>
            <w:r>
              <w:rPr>
                <w:rFonts w:ascii="仿宋_GB2312" w:hAnsi="仿宋_GB2312" w:cs="仿宋_GB2312" w:eastAsia="仿宋_GB2312"/>
                <w:sz w:val="21"/>
                <w:b/>
              </w:rPr>
              <w:t>采购人派专人对食堂的运营进行监管，协助</w:t>
            </w:r>
            <w:r>
              <w:rPr>
                <w:rFonts w:ascii="仿宋_GB2312" w:hAnsi="仿宋_GB2312" w:cs="仿宋_GB2312" w:eastAsia="仿宋_GB2312"/>
                <w:sz w:val="21"/>
                <w:b/>
              </w:rPr>
              <w:t>成交供应商</w:t>
            </w:r>
            <w:r>
              <w:rPr>
                <w:rFonts w:ascii="仿宋_GB2312" w:hAnsi="仿宋_GB2312" w:cs="仿宋_GB2312" w:eastAsia="仿宋_GB2312"/>
                <w:sz w:val="21"/>
                <w:b/>
              </w:rPr>
              <w:t>做好用餐管理，做好双方之间的沟通，</w:t>
            </w:r>
            <w:r>
              <w:rPr>
                <w:rFonts w:ascii="仿宋_GB2312" w:hAnsi="仿宋_GB2312" w:cs="仿宋_GB2312" w:eastAsia="仿宋_GB2312"/>
                <w:sz w:val="21"/>
                <w:b/>
              </w:rPr>
              <w:t>成交供应商</w:t>
            </w:r>
            <w:r>
              <w:rPr>
                <w:rFonts w:ascii="仿宋_GB2312" w:hAnsi="仿宋_GB2312" w:cs="仿宋_GB2312" w:eastAsia="仿宋_GB2312"/>
                <w:sz w:val="21"/>
                <w:b/>
              </w:rPr>
              <w:t>必须配合监管人员的工作。</w:t>
            </w:r>
          </w:p>
          <w:p>
            <w:pPr>
              <w:pStyle w:val="null3"/>
              <w:spacing w:before="105" w:after="105"/>
              <w:jc w:val="both"/>
              <w:outlineLvl w:val="0"/>
            </w:pPr>
            <w:r>
              <w:rPr>
                <w:rFonts w:ascii="仿宋_GB2312" w:hAnsi="仿宋_GB2312" w:cs="仿宋_GB2312" w:eastAsia="仿宋_GB2312"/>
                <w:sz w:val="21"/>
                <w:b/>
              </w:rPr>
              <w:t>10</w:t>
            </w:r>
            <w:r>
              <w:rPr>
                <w:rFonts w:ascii="仿宋_GB2312" w:hAnsi="仿宋_GB2312" w:cs="仿宋_GB2312" w:eastAsia="仿宋_GB2312"/>
                <w:sz w:val="21"/>
                <w:b/>
              </w:rPr>
              <w:t>.</w:t>
            </w:r>
            <w:r>
              <w:rPr>
                <w:rFonts w:ascii="仿宋_GB2312" w:hAnsi="仿宋_GB2312" w:cs="仿宋_GB2312" w:eastAsia="仿宋_GB2312"/>
                <w:sz w:val="21"/>
                <w:b/>
              </w:rPr>
              <w:t>成交供应商</w:t>
            </w:r>
            <w:r>
              <w:rPr>
                <w:rFonts w:ascii="仿宋_GB2312" w:hAnsi="仿宋_GB2312" w:cs="仿宋_GB2312" w:eastAsia="仿宋_GB2312"/>
                <w:sz w:val="21"/>
                <w:b/>
              </w:rPr>
              <w:t>及时向采购人通告本项目服务范围内有关服务的重大事项，及时配合处理投诉。</w:t>
            </w:r>
          </w:p>
          <w:p>
            <w:pPr>
              <w:pStyle w:val="null3"/>
            </w:pPr>
            <w:r>
              <w:rPr>
                <w:rFonts w:ascii="仿宋_GB2312" w:hAnsi="仿宋_GB2312" w:cs="仿宋_GB2312" w:eastAsia="仿宋_GB2312"/>
                <w:sz w:val="21"/>
              </w:rPr>
              <w:t>11.成交供应商不得以成本提高或费用过低等其他任何理由，降低餐品供应质量和数量。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1、厨师长：55周岁以内，★持有健康证； 2、烹饪厨师：55周岁以内，★持有健康证； 3、面点师：55周岁以内，★持有健康证； 4、营养师：55周岁以内，★持有健康证。 5、帮厨人员：55周岁以内,★持有健康证；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乙方提供等额合规的发票之后，每季度末，进行干部职工食堂满意度测评，满意度达到80%及以上，进行进度款的支付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乙方提供等额合规的发票之后，每季度末，进行干部职工食堂满意度测评，满意度达到80%及以上，进行进度款的支付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乙方提供等额合规的发票之后，每季度末，进行干部职工食堂满意度测评，满意度达到80%及以上，进行进度款的支付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乙方提供等额合规的发票之后，每季度末，进行干部职工食堂满意度测评，满意度达到80%及以上，进行进度款的支付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在合同履行过程中发生争议，双方应当协商解决，当事人双方不愿意协商、调解或者协商、调解不成的，双方商定向甲方所在地人民法院提起诉讼。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是法人的，提供2024年度或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提供2025年3月1日以来任意一个月税收缴纳证明（至少包含增值税或企业所得税其中一种），依法免税的或无需缴纳税收的单位应提供相关证明材料；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食品经营许可证</w:t>
            </w:r>
          </w:p>
        </w:tc>
        <w:tc>
          <w:tcPr>
            <w:tcW w:type="dxa" w:w="3322"/>
          </w:tcPr>
          <w:p>
            <w:pPr>
              <w:pStyle w:val="null3"/>
            </w:pPr>
            <w:r>
              <w:rPr>
                <w:rFonts w:ascii="仿宋_GB2312" w:hAnsi="仿宋_GB2312" w:cs="仿宋_GB2312" w:eastAsia="仿宋_GB2312"/>
              </w:rPr>
              <w:t>供应商须具备合法有效的《食品经营许可证》；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采购文件其他章节中对无效投标（响应）的规定。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总体运营方案</w:t>
            </w:r>
          </w:p>
        </w:tc>
        <w:tc>
          <w:tcPr>
            <w:tcW w:type="dxa" w:w="2492"/>
          </w:tcPr>
          <w:p>
            <w:pPr>
              <w:pStyle w:val="null3"/>
            </w:pPr>
            <w:r>
              <w:rPr>
                <w:rFonts w:ascii="仿宋_GB2312" w:hAnsi="仿宋_GB2312" w:cs="仿宋_GB2312" w:eastAsia="仿宋_GB2312"/>
              </w:rPr>
              <w:t>1、评审内容：（1）服务总体思路与承诺（2）设施设备与物资管理（3）服务标准（4）管理目标（5）现场运营与服务流程 2、评审标准 ： ①完整性：方案必须全面，对评审内容中的各项要求有详细描述； ②可实施性：切合本项目实际情况，提出步骤清晰、合理的方案； ③针对性：方案能够紧扣项目实际情况，内容科学合理。 3、赋分标准：①服务总体思路与承诺每完全满足一个评审标准得 1分，最高得分3分。②设施设备与物资管理每完全满足一个评审标准得 1分，最高得分3分。③服务标准每完全满足一个评审标准得 1分，最高得分3分。④管理目标每完全满足一个评审标准得 1分，最高得分3分。⑤现场运营与服务流程每完全满足一个评审标准得 1分，最高得分3分。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1、评审内容：（1）食品采购、储存、加工、留样制度方案（2）餐具消毒方案（3）安全执行标准（4）检验检查措施（5）原材料验收方案 2、评审标准 ： ①完整性：方案必须全面，对评审内容中的各项要求有详细描述； ②可实施性：切合本项目实际情况，提出步骤清晰、合理的方案； ③针对性：方案能够紧扣项目实际情况，内容科学合理。 3、赋分标准： ①食品采购、储存、加工、留样制度方案每完全满足一个评审标准得 1 分，最高得分3分。 ②餐具消毒方案每完全满足一个评审标准得 1 分，最高得分3分。 ③安全执行标准每完全满足一个评审标准得 1 分，最高得分3分。 ④检验检查措施每完全满足一个评审标准得 1 分，最高得分3分。 ⑤原材料验收方案每完全满足一个评审标准得 1 分，最高得分3分。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考核评价与持续改进方案</w:t>
            </w:r>
          </w:p>
        </w:tc>
        <w:tc>
          <w:tcPr>
            <w:tcW w:type="dxa" w:w="2492"/>
          </w:tcPr>
          <w:p>
            <w:pPr>
              <w:pStyle w:val="null3"/>
            </w:pPr>
            <w:r>
              <w:rPr>
                <w:rFonts w:ascii="仿宋_GB2312" w:hAnsi="仿宋_GB2312" w:cs="仿宋_GB2312" w:eastAsia="仿宋_GB2312"/>
              </w:rPr>
              <w:t>1、评审内容：（1）内部管理架构（2）服务提升方案（3）自查制度（4）激励机制 1、评审标准 ： ①完整性：方案必须全面，对评审内容中的各项要求有详细描述； ②可实施性：切合本项目实际情况，提出步骤清晰、合理的方案； ③针对性：方案能够紧扣项目实际情况，内容科学合理。 赋分标准： ①内部管理架构每完全满足一个评审标准得 1 分，最高得分3分。 ②服务提升方案每完全满足一个评审标准得 1 分，最高得分3分。 ③自查制度每完全满足一个评审标准得 1 分，最高得分3分。④激励机制每完全满足一个评审标准得 1 分，最高得分3分。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组织计划和人员构成</w:t>
            </w:r>
          </w:p>
        </w:tc>
        <w:tc>
          <w:tcPr>
            <w:tcW w:type="dxa" w:w="2492"/>
          </w:tcPr>
          <w:p>
            <w:pPr>
              <w:pStyle w:val="null3"/>
            </w:pPr>
            <w:r>
              <w:rPr>
                <w:rFonts w:ascii="仿宋_GB2312" w:hAnsi="仿宋_GB2312" w:cs="仿宋_GB2312" w:eastAsia="仿宋_GB2312"/>
              </w:rPr>
              <w:t>1、评审内容：（1）针对本项目的组织计划（2）项目组成人员（3）人员培训制度、考核管理制度 2、评审标准 ： ①完整性：方案必须全面，对评审内容中的各项要求有详细描述； ②可实施性：切合本项目实际情况，提出步骤清晰、合理的方案； ③针对性：方案能够紧扣项目实际情况，内容科学合理。 3、赋分标准： ①针对本项目的组织计划每完全满足一个评审标准得 1 分，最高得分3分。 ②项目组成人员每完全满足一个评审标准得 1 分，最高得分3分。③人员培训、考核、管理制度每完全满足一个评审标准得 1 分，最高得分3分。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卫生管理及垃圾处理等管理方案</w:t>
            </w:r>
          </w:p>
        </w:tc>
        <w:tc>
          <w:tcPr>
            <w:tcW w:type="dxa" w:w="2492"/>
          </w:tcPr>
          <w:p>
            <w:pPr>
              <w:pStyle w:val="null3"/>
            </w:pPr>
            <w:r>
              <w:rPr>
                <w:rFonts w:ascii="仿宋_GB2312" w:hAnsi="仿宋_GB2312" w:cs="仿宋_GB2312" w:eastAsia="仿宋_GB2312"/>
              </w:rPr>
              <w:t>1、评审内容：（1）食品卫生管理方案（2）人员卫生管理方案（3）环境卫生管理方案（4）垃圾处理方案 2、评审标准 ： ①完整性：方案必须全面，对评审内容中的各项要求有详细描述； ②可实施性：切合本项目实际情况，提出步骤清晰、合理的方案； ③针对性：方案能够紧扣项目实际情况，内容科学合理。 赋分标准： ①食品卫生管理方案每完全满足一个评审标准得 1 分，最高得分3分。 ②人员卫生管理方案每完全满足一个评审标准得 1 分，最高得分3分。③环境卫生管理方案每完全满足一个评审标准得 1 分，最高得分3分。④垃圾处理方案每完全满足一个评审标准得 1 分，最高得分3分。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1、评审内容：（1）停水停电，恶劣天气或其他突发事件等的预案措施（2）食品安全事故应急措施（3）投诉、纠纷处理措施 2、评审标准 ： ①完整性：方案必须全面，对评审内容中的各项要求有详细描述； ②可实施性：切合本项目实际情况，提出步骤清晰、合理的方案； ③针对性：方案能够紧扣项目实际情况，内容科学合理。 3、赋分标准：①停水停电，恶劣天气或其他突发事件等的预案措施每完全满足一个评审标准得1分，最高得分3分。 ②食品安全事故应急措施每完全满足一个评审标准得 1 分，最高得分3分。③投诉、纠纷处理措施每完全满足一个评审标准得 1 分，最高得分3分。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菜品与营养方案</w:t>
            </w:r>
          </w:p>
        </w:tc>
        <w:tc>
          <w:tcPr>
            <w:tcW w:type="dxa" w:w="2492"/>
          </w:tcPr>
          <w:p>
            <w:pPr>
              <w:pStyle w:val="null3"/>
            </w:pPr>
            <w:r>
              <w:rPr>
                <w:rFonts w:ascii="仿宋_GB2312" w:hAnsi="仿宋_GB2312" w:cs="仿宋_GB2312" w:eastAsia="仿宋_GB2312"/>
              </w:rPr>
              <w:t>1、评审内容：（1）菜谱设计方案（2）营养搭配方案（3）特色餐方案（4）菜品口味控制方案（5）菜品质量控制方案 2、评审标准 ：①完整性：方案必须全面，对评审内容中的各项要求有详细描述； ②可实施性：切合本项目实际情况，提出步骤清晰、合理的方案； ③针对性：方案能够紧扣项目实际情况，内容科学合理。 3、赋分标准： ①菜谱设计方案每完全满足一个评审标准得 1 分，最高得分3分。 ②营养搭配方案每完全满足一个评审标准得 1 分，最高得分3分。③特色餐方案每完全满足一个评审标准得 1 分，最高得分3分。④菜品口味质量控制方案每完全满足一个评审标准得 1 分，最高得分3分。⑤菜品质量控制方案每完全满足一个评审标准得 1 分，最高得分3分。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2023年1月1日至今具有类似项目业绩，响应文件中附有合同或中标通知书作为证明文件（复印件加盖红色公章），证明文件不齐全不得分，每提供一项业绩计1.5分，满分3分。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2、有效最低评审价格得10分。 3、其他报价得分按（有效最低评审价格/评审价格）×10的公式计算其得分。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