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版本号：SXDY-2026-06920260318001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西安市灞桥区人民检察院食堂外包项目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SXDY-2026-069</w:t>
      </w:r>
      <w:r>
        <w:br/>
      </w:r>
      <w:r>
        <w:br/>
      </w:r>
      <w:r>
        <w:br/>
      </w:r>
    </w:p>
    <w:p>
      <w:pPr>
        <w:pStyle w:val="null3"/>
        <w:jc w:val="center"/>
        <w:outlineLvl w:val="2"/>
      </w:pPr>
      <w:r>
        <w:rPr>
          <w:rFonts w:ascii="仿宋_GB2312" w:hAnsi="仿宋_GB2312" w:cs="仿宋_GB2312" w:eastAsia="仿宋_GB2312"/>
          <w:sz w:val="28"/>
          <w:b/>
        </w:rPr>
        <w:t>西安市灞桥区人民检察院[170]</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西安市灞桥区人民检察院[170]</w:t>
      </w:r>
      <w:r>
        <w:rPr>
          <w:rFonts w:ascii="仿宋_GB2312" w:hAnsi="仿宋_GB2312" w:cs="仿宋_GB2312" w:eastAsia="仿宋_GB2312"/>
        </w:rPr>
        <w:t>委托，拟对</w:t>
      </w:r>
      <w:r>
        <w:rPr>
          <w:rFonts w:ascii="仿宋_GB2312" w:hAnsi="仿宋_GB2312" w:cs="仿宋_GB2312" w:eastAsia="仿宋_GB2312"/>
        </w:rPr>
        <w:t>西安市灞桥区人民检察院食堂外包项目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SXDY-2026-069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西安市灞桥区人民检察院食堂外包项目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西安市灞桥区人民检察院食堂外包项目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采购包1（西安市灞桥区人民检察院食堂外包项目）：属于专门面向小微企业采购。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8、企业资质：提供有效的《食品经营许可证》；供应商需在项目电子化交易系统中按要求上传相应证明文件并进行电子签章。</w:t>
      </w:r>
    </w:p>
    <w:p>
      <w:pPr>
        <w:pStyle w:val="null3"/>
      </w:pPr>
      <w:r>
        <w:rPr>
          <w:rFonts w:ascii="仿宋_GB2312" w:hAnsi="仿宋_GB2312" w:cs="仿宋_GB2312" w:eastAsia="仿宋_GB2312"/>
        </w:rPr>
        <w:t>9、本项目不接受联合体响应，不允许分包：供应商提供《非联合体、不分包投标声明》，视为独立响应，不分包；供应商应提供承诺书，格式及内容具体参见“响应文件格式”。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10、声明：供应商提供具有履行合同所必需的设备和专业技术能力的声明；供应商应提供承诺书，格式及内容具体参见“响应文件格式”。</w:t>
      </w:r>
    </w:p>
    <w:p>
      <w:pPr>
        <w:pStyle w:val="null3"/>
      </w:pPr>
      <w:r>
        <w:rPr>
          <w:rFonts w:ascii="仿宋_GB2312" w:hAnsi="仿宋_GB2312" w:cs="仿宋_GB2312" w:eastAsia="仿宋_GB2312"/>
        </w:rPr>
        <w:t>11、 本项目专门面向小微企业采购：供应商需在项目电子化交易系统中按要求上传相应证明文件并进行电子签章。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西安市灞桥区人民检察院[170]</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陕西省西安市灞桥区灞柳二路699号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029-83517129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陕西省西安市雁塔区西三交村长丰园I区1幢C单元11层1110室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收取。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西安市灞桥区人民检察院[170]</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西安市灞桥区人民检察院[170]</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西安市灞桥区人民检察院[170]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联系人：吴皓</w:t>
      </w:r>
    </w:p>
    <w:p>
      <w:pPr>
        <w:pStyle w:val="null3"/>
      </w:pPr>
      <w:r>
        <w:rPr>
          <w:rFonts w:ascii="仿宋_GB2312" w:hAnsi="仿宋_GB2312" w:cs="仿宋_GB2312" w:eastAsia="仿宋_GB2312"/>
        </w:rPr>
        <w:t>联系电话：15929736865</w:t>
      </w:r>
    </w:p>
    <w:p>
      <w:pPr>
        <w:pStyle w:val="null3"/>
      </w:pPr>
      <w:r>
        <w:rPr>
          <w:rFonts w:ascii="仿宋_GB2312" w:hAnsi="仿宋_GB2312" w:cs="仿宋_GB2312" w:eastAsia="仿宋_GB2312"/>
        </w:rPr>
        <w:t>地址：陕西省西安市雁塔区西三交村长丰园I区1幢C单元11层1110室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西安市灞桥区人民检察院食堂外包项目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497,900.00</w:t>
      </w:r>
    </w:p>
    <w:p>
      <w:pPr>
        <w:pStyle w:val="null3"/>
      </w:pPr>
      <w:r>
        <w:rPr>
          <w:rFonts w:ascii="仿宋_GB2312" w:hAnsi="仿宋_GB2312" w:cs="仿宋_GB2312" w:eastAsia="仿宋_GB2312"/>
        </w:rPr>
        <w:t>采购包最高限价（元）: 497,900.00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497,900.00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rPr>
              <w:t>服务内容</w:t>
            </w:r>
          </w:p>
          <w:p>
            <w:pPr>
              <w:pStyle w:val="null3"/>
              <w:ind w:firstLine="480"/>
            </w:pPr>
            <w:r>
              <w:rPr>
                <w:rFonts w:ascii="仿宋_GB2312" w:hAnsi="仿宋_GB2312" w:cs="仿宋_GB2312" w:eastAsia="仿宋_GB2312"/>
                <w:sz w:val="24"/>
              </w:rPr>
              <w:t>1、服务商合理安排机关员工餐、制定科学食谱。采购人全程监管；</w:t>
            </w:r>
          </w:p>
          <w:p>
            <w:pPr>
              <w:pStyle w:val="null3"/>
              <w:ind w:firstLine="480"/>
              <w:jc w:val="both"/>
            </w:pPr>
            <w:r>
              <w:rPr>
                <w:rFonts w:ascii="仿宋_GB2312" w:hAnsi="仿宋_GB2312" w:cs="仿宋_GB2312" w:eastAsia="仿宋_GB2312"/>
                <w:sz w:val="24"/>
              </w:rPr>
              <w:t>2、餐饮区内公共区域的通道、地面、楼梯、墙壁、走廊、玻璃、餐具、取样盒、消防设施等的清洁、保洁、消毒工作；</w:t>
            </w:r>
          </w:p>
          <w:p>
            <w:pPr>
              <w:pStyle w:val="null3"/>
              <w:ind w:firstLine="480"/>
              <w:jc w:val="both"/>
            </w:pPr>
            <w:r>
              <w:rPr>
                <w:rFonts w:ascii="仿宋_GB2312" w:hAnsi="仿宋_GB2312" w:cs="仿宋_GB2312" w:eastAsia="仿宋_GB2312"/>
                <w:sz w:val="24"/>
              </w:rPr>
              <w:t>3、餐厨垃圾清倒至指定区域。</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、人员要求</w:t>
            </w:r>
          </w:p>
          <w:p>
            <w:pPr>
              <w:pStyle w:val="null3"/>
              <w:ind w:firstLine="240"/>
              <w:jc w:val="both"/>
            </w:pPr>
            <w:r>
              <w:rPr>
                <w:rFonts w:ascii="仿宋_GB2312" w:hAnsi="仿宋_GB2312" w:cs="仿宋_GB2312" w:eastAsia="仿宋_GB2312"/>
                <w:sz w:val="24"/>
              </w:rPr>
              <w:t>（一）人员管理要求</w:t>
            </w:r>
          </w:p>
          <w:p>
            <w:pPr>
              <w:pStyle w:val="null3"/>
              <w:ind w:firstLine="480"/>
              <w:jc w:val="both"/>
            </w:pPr>
            <w:r>
              <w:rPr>
                <w:rFonts w:ascii="仿宋_GB2312" w:hAnsi="仿宋_GB2312" w:cs="仿宋_GB2312" w:eastAsia="仿宋_GB2312"/>
                <w:sz w:val="24"/>
              </w:rPr>
              <w:t>1、成交服务商必须依法合规与员工签订劳动合同、建立员工个人档案（个人信息及培训档案），并向采购人报备；</w:t>
            </w:r>
          </w:p>
          <w:p>
            <w:pPr>
              <w:pStyle w:val="null3"/>
              <w:ind w:firstLine="480"/>
              <w:jc w:val="both"/>
            </w:pPr>
            <w:r>
              <w:rPr>
                <w:rFonts w:ascii="仿宋_GB2312" w:hAnsi="仿宋_GB2312" w:cs="仿宋_GB2312" w:eastAsia="仿宋_GB2312"/>
                <w:sz w:val="24"/>
              </w:rPr>
              <w:t>2、所有</w:t>
            </w:r>
            <w:r>
              <w:rPr>
                <w:rFonts w:ascii="仿宋_GB2312" w:hAnsi="仿宋_GB2312" w:cs="仿宋_GB2312" w:eastAsia="仿宋_GB2312"/>
                <w:sz w:val="24"/>
              </w:rPr>
              <w:t>服务</w:t>
            </w:r>
            <w:r>
              <w:rPr>
                <w:rFonts w:ascii="仿宋_GB2312" w:hAnsi="仿宋_GB2312" w:cs="仿宋_GB2312" w:eastAsia="仿宋_GB2312"/>
                <w:sz w:val="24"/>
              </w:rPr>
              <w:t>人员必须思想端正，有吃苦耐劳精神，身体健康、五官端正，熟悉采购人相关管理制度。</w:t>
            </w:r>
          </w:p>
          <w:p>
            <w:pPr>
              <w:pStyle w:val="null3"/>
              <w:ind w:firstLine="240"/>
              <w:jc w:val="both"/>
            </w:pPr>
            <w:r>
              <w:rPr>
                <w:rFonts w:ascii="仿宋_GB2312" w:hAnsi="仿宋_GB2312" w:cs="仿宋_GB2312" w:eastAsia="仿宋_GB2312"/>
                <w:sz w:val="24"/>
              </w:rPr>
              <w:t>（二）岗位设置及要求</w:t>
            </w:r>
          </w:p>
          <w:tbl>
            <w:tblPr>
              <w:tblBorders>
                <w:top w:val="none" w:color="000000" w:sz="4"/>
                <w:left w:val="none" w:color="000000" w:sz="4"/>
                <w:bottom w:val="none" w:color="000000" w:sz="4"/>
                <w:right w:val="none" w:color="000000" w:sz="4"/>
                <w:insideH w:val="none"/>
                <w:insideV w:val="none"/>
              </w:tblBorders>
            </w:tblPr>
            <w:tblGrid>
              <w:gridCol w:w="153"/>
              <w:gridCol w:w="319"/>
              <w:gridCol w:w="1748"/>
              <w:gridCol w:w="327"/>
            </w:tblGrid>
            <w:tr>
              <w:tc>
                <w:tcPr>
                  <w:tcW w:type="dxa" w:w="472"/>
                  <w:gridSpan w:val="2"/>
                  <w:tcBorders>
                    <w:top w:val="single" w:color="000000" w:sz="4"/>
                    <w:left w:val="single" w:color="000000" w:sz="4"/>
                    <w:bottom w:val="single" w:color="000000" w:sz="4"/>
                    <w:right w:val="single" w:color="000000" w:sz="4"/>
                  </w:tcBorders>
                  <w:shd w:fill="BEBEBE"/>
                  <w:tcMar>
                    <w:top w:type="dxa" w:w="60"/>
                    <w:left w:type="dxa" w:w="60"/>
                    <w:bottom w:type="dxa" w:w="60"/>
                    <w:right w:type="dxa" w:w="60"/>
                  </w:tcMar>
                  <w:vAlign w:val="top"/>
                </w:tcPr>
                <w:p>
                  <w:pPr>
                    <w:pStyle w:val="null3"/>
                    <w:ind w:firstLine="480"/>
                    <w:jc w:val="both"/>
                  </w:pPr>
                  <w:r>
                    <w:rPr>
                      <w:rFonts w:ascii="仿宋_GB2312" w:hAnsi="仿宋_GB2312" w:cs="仿宋_GB2312" w:eastAsia="仿宋_GB2312"/>
                      <w:sz w:val="24"/>
                    </w:rPr>
                    <w:t>岗位名称</w:t>
                  </w:r>
                </w:p>
              </w:tc>
              <w:tc>
                <w:tcPr>
                  <w:tcW w:type="dxa" w:w="1748"/>
                  <w:tcBorders>
                    <w:top w:val="single" w:color="000000" w:sz="4"/>
                    <w:left w:val="single" w:color="000000" w:sz="4"/>
                    <w:bottom w:val="single" w:color="000000" w:sz="4"/>
                    <w:right w:val="single" w:color="000000" w:sz="4"/>
                  </w:tcBorders>
                  <w:shd w:fill="BEBEBE"/>
                  <w:tcMar>
                    <w:top w:type="dxa" w:w="60"/>
                    <w:left w:type="dxa" w:w="60"/>
                    <w:bottom w:type="dxa" w:w="60"/>
                    <w:right w:type="dxa" w:w="60"/>
                  </w:tcMar>
                  <w:vAlign w:val="top"/>
                </w:tcPr>
                <w:p>
                  <w:pPr>
                    <w:pStyle w:val="null3"/>
                    <w:ind w:firstLine="1200"/>
                    <w:jc w:val="both"/>
                  </w:pPr>
                  <w:r>
                    <w:rPr>
                      <w:rFonts w:ascii="仿宋_GB2312" w:hAnsi="仿宋_GB2312" w:cs="仿宋_GB2312" w:eastAsia="仿宋_GB2312"/>
                      <w:sz w:val="24"/>
                    </w:rPr>
                    <w:t>人员资质要求</w:t>
                  </w:r>
                </w:p>
              </w:tc>
              <w:tc>
                <w:tcPr>
                  <w:tcW w:type="dxa" w:w="327"/>
                  <w:tcBorders>
                    <w:top w:val="single" w:color="000000" w:sz="4"/>
                    <w:left w:val="single" w:color="000000" w:sz="4"/>
                    <w:bottom w:val="single" w:color="000000" w:sz="4"/>
                    <w:right w:val="single" w:color="000000" w:sz="4"/>
                  </w:tcBorders>
                  <w:shd w:fill="BEBEBE"/>
                  <w:tcMar>
                    <w:top w:type="dxa" w:w="60"/>
                    <w:left w:type="dxa" w:w="60"/>
                    <w:bottom w:type="dxa" w:w="60"/>
                    <w:right w:type="dxa" w:w="60"/>
                  </w:tcMar>
                  <w:vAlign w:val="top"/>
                </w:tcPr>
                <w:p>
                  <w:pPr>
                    <w:pStyle w:val="null3"/>
                    <w:jc w:val="both"/>
                  </w:pPr>
                  <w:r>
                    <w:rPr>
                      <w:rFonts w:ascii="仿宋_GB2312" w:hAnsi="仿宋_GB2312" w:cs="仿宋_GB2312" w:eastAsia="仿宋_GB2312"/>
                      <w:sz w:val="24"/>
                    </w:rPr>
                    <w:t>岗位数量</w:t>
                  </w:r>
                </w:p>
              </w:tc>
            </w:tr>
            <w:tr>
              <w:tc>
                <w:tcPr>
                  <w:tcW w:type="dxa" w:w="153"/>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4"/>
                    </w:rPr>
                    <w:t>餐饮</w:t>
                  </w:r>
                </w:p>
              </w:tc>
              <w:tc>
                <w:tcPr>
                  <w:tcW w:type="dxa" w:w="3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ind w:firstLine="240"/>
                    <w:jc w:val="both"/>
                  </w:pPr>
                  <w:r>
                    <w:rPr>
                      <w:rFonts w:ascii="仿宋_GB2312" w:hAnsi="仿宋_GB2312" w:cs="仿宋_GB2312" w:eastAsia="仿宋_GB2312"/>
                      <w:sz w:val="24"/>
                    </w:rPr>
                    <w:t>厨师</w:t>
                  </w:r>
                </w:p>
              </w:tc>
              <w:tc>
                <w:tcPr>
                  <w:tcW w:type="dxa" w:w="17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4"/>
                    </w:rPr>
                    <w:t>持有</w:t>
                  </w:r>
                  <w:r>
                    <w:rPr>
                      <w:rFonts w:ascii="仿宋_GB2312" w:hAnsi="仿宋_GB2312" w:cs="仿宋_GB2312" w:eastAsia="仿宋_GB2312"/>
                      <w:sz w:val="24"/>
                    </w:rPr>
                    <w:t>“健康证”；有一定的厨房管理能力。从业经验3年以上。年龄不超过国家法定退休年龄。</w:t>
                  </w:r>
                </w:p>
                <w:p>
                  <w:pPr>
                    <w:pStyle w:val="null3"/>
                    <w:jc w:val="both"/>
                  </w:pPr>
                  <w:r>
                    <w:rPr>
                      <w:rFonts w:ascii="仿宋_GB2312" w:hAnsi="仿宋_GB2312" w:cs="仿宋_GB2312" w:eastAsia="仿宋_GB2312"/>
                      <w:sz w:val="24"/>
                    </w:rPr>
                    <w:t>应具备当地菜（小吃）、陕北菜（小吃）、川菜等特色风味厨艺。</w:t>
                  </w:r>
                </w:p>
              </w:tc>
              <w:tc>
                <w:tcPr>
                  <w:tcW w:type="dxa" w:w="327"/>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ind w:firstLine="480"/>
                    <w:jc w:val="both"/>
                  </w:pPr>
                  <w:r>
                    <w:rPr>
                      <w:rFonts w:ascii="仿宋_GB2312" w:hAnsi="仿宋_GB2312" w:cs="仿宋_GB2312" w:eastAsia="仿宋_GB2312"/>
                      <w:sz w:val="24"/>
                    </w:rPr>
                    <w:t>1</w:t>
                  </w:r>
                </w:p>
              </w:tc>
            </w:tr>
            <w:tr>
              <w:tc>
                <w:tcPr>
                  <w:tcW w:type="dxa" w:w="153"/>
                  <w:vMerge/>
                  <w:tcBorders>
                    <w:top w:val="none" w:color="000000" w:sz="4"/>
                    <w:left w:val="single" w:color="000000" w:sz="4"/>
                    <w:bottom w:val="singl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ind w:firstLine="240"/>
                    <w:jc w:val="both"/>
                  </w:pPr>
                  <w:r>
                    <w:rPr>
                      <w:rFonts w:ascii="仿宋_GB2312" w:hAnsi="仿宋_GB2312" w:cs="仿宋_GB2312" w:eastAsia="仿宋_GB2312"/>
                      <w:sz w:val="24"/>
                    </w:rPr>
                    <w:t>帮厨</w:t>
                  </w:r>
                </w:p>
              </w:tc>
              <w:tc>
                <w:tcPr>
                  <w:tcW w:type="dxa" w:w="17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4"/>
                    </w:rPr>
                    <w:t>持有</w:t>
                  </w:r>
                  <w:r>
                    <w:rPr>
                      <w:rFonts w:ascii="仿宋_GB2312" w:hAnsi="仿宋_GB2312" w:cs="仿宋_GB2312" w:eastAsia="仿宋_GB2312"/>
                      <w:sz w:val="24"/>
                    </w:rPr>
                    <w:t>“健康证”；</w:t>
                  </w:r>
                </w:p>
                <w:p>
                  <w:pPr>
                    <w:pStyle w:val="null3"/>
                    <w:jc w:val="both"/>
                  </w:pPr>
                  <w:r>
                    <w:rPr>
                      <w:rFonts w:ascii="仿宋_GB2312" w:hAnsi="仿宋_GB2312" w:cs="仿宋_GB2312" w:eastAsia="仿宋_GB2312"/>
                      <w:sz w:val="24"/>
                    </w:rPr>
                    <w:t>年龄不超过国家法定退休年龄。</w:t>
                  </w:r>
                </w:p>
              </w:tc>
              <w:tc>
                <w:tcPr>
                  <w:tcW w:type="dxa" w:w="32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ind w:firstLine="480"/>
                    <w:jc w:val="both"/>
                  </w:pPr>
                  <w:r>
                    <w:rPr>
                      <w:rFonts w:ascii="仿宋_GB2312" w:hAnsi="仿宋_GB2312" w:cs="仿宋_GB2312" w:eastAsia="仿宋_GB2312"/>
                      <w:sz w:val="24"/>
                    </w:rPr>
                    <w:t>2</w:t>
                  </w:r>
                </w:p>
              </w:tc>
            </w:tr>
            <w:tr>
              <w:tc>
                <w:tcPr>
                  <w:tcW w:type="dxa" w:w="2220"/>
                  <w:gridSpan w:val="3"/>
                  <w:tcBorders>
                    <w:top w:val="none" w:color="000000" w:sz="4"/>
                    <w:left w:val="single" w:color="000000" w:sz="4"/>
                    <w:bottom w:val="single" w:color="000000" w:sz="4"/>
                    <w:right w:val="single" w:color="000000" w:sz="4"/>
                  </w:tcBorders>
                  <w:shd w:fill="D8D8D8"/>
                  <w:tcMar>
                    <w:top w:type="dxa" w:w="60"/>
                    <w:left w:type="dxa" w:w="60"/>
                    <w:bottom w:type="dxa" w:w="60"/>
                    <w:right w:type="dxa" w:w="60"/>
                  </w:tcMar>
                  <w:vAlign w:val="top"/>
                </w:tcPr>
                <w:p>
                  <w:pPr>
                    <w:pStyle w:val="null3"/>
                    <w:ind w:firstLine="3120"/>
                    <w:jc w:val="both"/>
                  </w:pPr>
                  <w:r>
                    <w:rPr>
                      <w:rFonts w:ascii="仿宋_GB2312" w:hAnsi="仿宋_GB2312" w:cs="仿宋_GB2312" w:eastAsia="仿宋_GB2312"/>
                      <w:sz w:val="24"/>
                    </w:rPr>
                    <w:t>合计</w:t>
                  </w:r>
                </w:p>
              </w:tc>
              <w:tc>
                <w:tcPr>
                  <w:tcW w:type="dxa" w:w="32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ind w:firstLine="480"/>
                    <w:jc w:val="both"/>
                  </w:pPr>
                  <w:r>
                    <w:rPr>
                      <w:rFonts w:ascii="仿宋_GB2312" w:hAnsi="仿宋_GB2312" w:cs="仿宋_GB2312" w:eastAsia="仿宋_GB2312"/>
                      <w:sz w:val="24"/>
                    </w:rPr>
                    <w:t>3</w:t>
                  </w:r>
                </w:p>
              </w:tc>
            </w:tr>
          </w:tbl>
          <w:p>
            <w:pPr>
              <w:pStyle w:val="null3"/>
              <w:ind w:left="480"/>
              <w:jc w:val="both"/>
            </w:pPr>
            <w:r>
              <w:rPr>
                <w:rFonts w:ascii="仿宋_GB2312" w:hAnsi="仿宋_GB2312" w:cs="仿宋_GB2312" w:eastAsia="仿宋_GB2312"/>
                <w:sz w:val="24"/>
              </w:rPr>
              <w:t>三</w:t>
            </w:r>
            <w:r>
              <w:rPr>
                <w:rFonts w:ascii="仿宋_GB2312" w:hAnsi="仿宋_GB2312" w:cs="仿宋_GB2312" w:eastAsia="仿宋_GB2312"/>
                <w:sz w:val="24"/>
              </w:rPr>
              <w:t>、服务要求</w:t>
            </w:r>
            <w:r>
              <w:br/>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）餐饮服务</w:t>
            </w:r>
            <w:r>
              <w:br/>
            </w:r>
            <w:r>
              <w:rPr>
                <w:rFonts w:ascii="仿宋_GB2312" w:hAnsi="仿宋_GB2312" w:cs="仿宋_GB2312" w:eastAsia="仿宋_GB2312"/>
                <w:sz w:val="21"/>
              </w:rPr>
              <w:t xml:space="preserve">    </w:t>
            </w:r>
            <w:r>
              <w:rPr>
                <w:rFonts w:ascii="仿宋_GB2312" w:hAnsi="仿宋_GB2312" w:cs="仿宋_GB2312" w:eastAsia="仿宋_GB2312"/>
                <w:sz w:val="24"/>
              </w:rPr>
              <w:t>1、餐厨场地、设备、厨具餐具，水电气费用由采购人提供，物业公司应节约使用。餐厅劳务服务、食材费及耗材费均包含在合同总价中，餐饮服务由</w:t>
            </w:r>
            <w:r>
              <w:rPr>
                <w:rFonts w:ascii="仿宋_GB2312" w:hAnsi="仿宋_GB2312" w:cs="仿宋_GB2312" w:eastAsia="仿宋_GB2312"/>
                <w:sz w:val="24"/>
              </w:rPr>
              <w:t>服务</w:t>
            </w:r>
            <w:r>
              <w:rPr>
                <w:rFonts w:ascii="仿宋_GB2312" w:hAnsi="仿宋_GB2312" w:cs="仿宋_GB2312" w:eastAsia="仿宋_GB2312"/>
                <w:sz w:val="24"/>
              </w:rPr>
              <w:t>公司自主经营，自负盈亏。</w:t>
            </w:r>
          </w:p>
          <w:p>
            <w:pPr>
              <w:pStyle w:val="null3"/>
              <w:ind w:firstLine="840"/>
              <w:jc w:val="both"/>
            </w:pPr>
            <w:r>
              <w:rPr>
                <w:rFonts w:ascii="仿宋_GB2312" w:hAnsi="仿宋_GB2312" w:cs="仿宋_GB2312" w:eastAsia="仿宋_GB2312"/>
                <w:sz w:val="24"/>
              </w:rPr>
              <w:t>2、餐饮标准：</w:t>
            </w:r>
          </w:p>
          <w:p>
            <w:pPr>
              <w:pStyle w:val="null3"/>
              <w:ind w:firstLine="960"/>
              <w:jc w:val="both"/>
            </w:pPr>
            <w:r>
              <w:rPr>
                <w:rFonts w:ascii="仿宋_GB2312" w:hAnsi="仿宋_GB2312" w:cs="仿宋_GB2312" w:eastAsia="仿宋_GB2312"/>
                <w:sz w:val="24"/>
              </w:rPr>
              <w:t>（</w:t>
            </w:r>
            <w:r>
              <w:rPr>
                <w:rFonts w:ascii="仿宋_GB2312" w:hAnsi="仿宋_GB2312" w:cs="仿宋_GB2312" w:eastAsia="仿宋_GB2312"/>
                <w:sz w:val="24"/>
              </w:rPr>
              <w:t>1）早餐：（要求菜品不低于2种，稀饭不少于1种，主食应多样变化）。牛奶、酸奶、鸡蛋</w:t>
            </w:r>
            <w:r>
              <w:rPr>
                <w:rFonts w:ascii="仿宋_GB2312" w:hAnsi="仿宋_GB2312" w:cs="仿宋_GB2312" w:eastAsia="仿宋_GB2312"/>
                <w:sz w:val="24"/>
              </w:rPr>
              <w:t>。</w:t>
            </w:r>
          </w:p>
          <w:p>
            <w:pPr>
              <w:pStyle w:val="null3"/>
              <w:ind w:firstLine="960"/>
              <w:jc w:val="both"/>
            </w:pPr>
            <w:r>
              <w:rPr>
                <w:rFonts w:ascii="仿宋_GB2312" w:hAnsi="仿宋_GB2312" w:cs="仿宋_GB2312" w:eastAsia="仿宋_GB2312"/>
                <w:sz w:val="24"/>
              </w:rPr>
              <w:t>（</w:t>
            </w:r>
            <w:r>
              <w:rPr>
                <w:rFonts w:ascii="仿宋_GB2312" w:hAnsi="仿宋_GB2312" w:cs="仿宋_GB2312" w:eastAsia="仿宋_GB2312"/>
                <w:sz w:val="24"/>
              </w:rPr>
              <w:t>2）午餐：周一</w:t>
            </w:r>
            <w:r>
              <w:rPr>
                <w:rFonts w:ascii="仿宋_GB2312" w:hAnsi="仿宋_GB2312" w:cs="仿宋_GB2312" w:eastAsia="仿宋_GB2312"/>
                <w:sz w:val="24"/>
              </w:rPr>
              <w:t>、三、五</w:t>
            </w:r>
            <w:r>
              <w:rPr>
                <w:rFonts w:ascii="仿宋_GB2312" w:hAnsi="仿宋_GB2312" w:cs="仿宋_GB2312" w:eastAsia="仿宋_GB2312"/>
                <w:sz w:val="24"/>
              </w:rPr>
              <w:t>米饭（菜品不低于</w:t>
            </w:r>
            <w:r>
              <w:rPr>
                <w:rFonts w:ascii="仿宋_GB2312" w:hAnsi="仿宋_GB2312" w:cs="仿宋_GB2312" w:eastAsia="仿宋_GB2312"/>
                <w:sz w:val="24"/>
              </w:rPr>
              <w:t>3种两荤一素，一汤</w:t>
            </w:r>
            <w:r>
              <w:rPr>
                <w:rFonts w:ascii="仿宋_GB2312" w:hAnsi="仿宋_GB2312" w:cs="仿宋_GB2312" w:eastAsia="仿宋_GB2312"/>
                <w:sz w:val="24"/>
              </w:rPr>
              <w:t>、搭配杂粮或水果。</w:t>
            </w:r>
            <w:r>
              <w:rPr>
                <w:rFonts w:ascii="仿宋_GB2312" w:hAnsi="仿宋_GB2312" w:cs="仿宋_GB2312" w:eastAsia="仿宋_GB2312"/>
                <w:sz w:val="24"/>
              </w:rPr>
              <w:t>周二、四面条（要求扯面、干拌面、炸酱面等）</w:t>
            </w:r>
            <w:r>
              <w:rPr>
                <w:rFonts w:ascii="仿宋_GB2312" w:hAnsi="仿宋_GB2312" w:cs="仿宋_GB2312" w:eastAsia="仿宋_GB2312"/>
                <w:sz w:val="24"/>
              </w:rPr>
              <w:t>或</w:t>
            </w:r>
            <w:r>
              <w:rPr>
                <w:rFonts w:ascii="仿宋_GB2312" w:hAnsi="仿宋_GB2312" w:cs="仿宋_GB2312" w:eastAsia="仿宋_GB2312"/>
                <w:sz w:val="24"/>
              </w:rPr>
              <w:t>陕西小吃。由服务商自行安排，采购人确认后执行，如需更改，必须经过采购人同意，方可变更。</w:t>
            </w:r>
          </w:p>
          <w:p>
            <w:pPr>
              <w:pStyle w:val="null3"/>
              <w:jc w:val="both"/>
            </w:pPr>
            <w:r>
              <w:rPr>
                <w:rFonts w:ascii="仿宋_GB2312" w:hAnsi="仿宋_GB2312" w:cs="仿宋_GB2312" w:eastAsia="仿宋_GB2312"/>
                <w:sz w:val="24"/>
              </w:rPr>
              <w:t>四</w:t>
            </w:r>
            <w:r>
              <w:rPr>
                <w:rFonts w:ascii="仿宋_GB2312" w:hAnsi="仿宋_GB2312" w:cs="仿宋_GB2312" w:eastAsia="仿宋_GB2312"/>
                <w:sz w:val="24"/>
              </w:rPr>
              <w:t>、商务要求</w:t>
            </w:r>
          </w:p>
          <w:p>
            <w:pPr>
              <w:pStyle w:val="null3"/>
              <w:ind w:firstLine="480"/>
              <w:jc w:val="both"/>
            </w:pPr>
            <w:r>
              <w:rPr>
                <w:rFonts w:ascii="仿宋_GB2312" w:hAnsi="仿宋_GB2312" w:cs="仿宋_GB2312" w:eastAsia="仿宋_GB2312"/>
                <w:sz w:val="24"/>
              </w:rPr>
              <w:t>（一）服务期：</w:t>
            </w:r>
            <w:r>
              <w:rPr>
                <w:rFonts w:ascii="仿宋_GB2312" w:hAnsi="仿宋_GB2312" w:cs="仿宋_GB2312" w:eastAsia="仿宋_GB2312"/>
                <w:sz w:val="24"/>
              </w:rPr>
              <w:t>12个月，以双方签订合同时约定的起止时间为准。</w:t>
            </w:r>
          </w:p>
          <w:p>
            <w:pPr>
              <w:pStyle w:val="null3"/>
              <w:ind w:firstLine="480"/>
              <w:jc w:val="both"/>
            </w:pPr>
            <w:r>
              <w:rPr>
                <w:rFonts w:ascii="仿宋_GB2312" w:hAnsi="仿宋_GB2312" w:cs="仿宋_GB2312" w:eastAsia="仿宋_GB2312"/>
                <w:sz w:val="24"/>
              </w:rPr>
              <w:t>（二）服务费按月结算或者按季度结算。服务费已包含管理人员和服务人员的人工费（工资、社保、福利等）、节假日加班费、员工培训费、办公经费、员工食宿费、清洁材料、工具、劳保及人身意外保险费、设备设施维护费、企业法定利润、财务费用、管理费用和税金等完成本项目所需的一切费用。其中，人员的工资、社保、福利等必须符合国家及省、市相关法律法规所规定的标准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根据技术参数与性能指标配备相应设施设备，确保项目顺利实施。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12月底</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项目服务期结束并验收合格后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一、餐饮业。从业人员300人以下或营业收入10000万元以下的为中小微型企业。其中，从业人员100人及以上，且营业收入2000万元及以上的为中型企业；从业 人员10人及以上，且营业收入100万元及以上的为小型企业；从业人员10人以下或营 业收入100万元以下的为微型企业。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 xml:space="preserve"> 本项目专门面向小微企业采购</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供应商认为应该提交的其他资料.docx 中小企业声明函 合同条款响应表.docx 报价表 商务应答表.docx 资格证明文件.docx 响应文件封面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只能有一个有效报价，不得提交选择性报价，按要求提交最后报价，且不超过上一次报价或磋商小组认为低于成本价的报价。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与营业执照、资质证书或其他组织一致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服务周期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各投标人提供的食品安全管理方案（包括但不限于①食品质量控制；②食品安全；③食材的采购；④食材贮存计划⑤安全执行标准；⑥检验检查；⑦日常维护措施及责任范围方案）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各投标人针对本项目提供以两周为周期的配餐方案及就餐多样性，（包括但不限于①菜品；②主食种类；③菜品数量；④科学营养；⑤菜品质量等），按其响应程度进行综合赋分。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针对本项目特点有具体的厨房设备使用管理、餐具消毒等方案，（包含但不限于①厨房设备使用管理制度；②厨房设备安全使用方案；③餐具消毒管理方案等详细说明），按其响应程度进行综合赋分。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接待保障措施</w:t>
            </w:r>
          </w:p>
        </w:tc>
        <w:tc>
          <w:tcPr>
            <w:tcW w:type="dxa" w:w="2492"/>
          </w:tcPr>
          <w:p>
            <w:pPr>
              <w:pStyle w:val="null3"/>
            </w:pPr>
            <w:r>
              <w:rPr>
                <w:rFonts w:ascii="仿宋_GB2312" w:hAnsi="仿宋_GB2312" w:cs="仿宋_GB2312" w:eastAsia="仿宋_GB2312"/>
              </w:rPr>
              <w:t>在正常的工作餐以外，投标人还需有能力完成一般的接待餐饮任务提供保障措施。（包含但不限于①餐前准备；②出餐时间保证方案；③营养搭配方案等），按其响应程度进行综合赋分。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根据突发情况处置，（包含但不限于：①停水、停电、停气应急预案；②食物中毒应急预案；③消防安全突发事件应急预案等），按其响应程度进行综合赋分。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根据各投标人针对本项目的管理服务措施，具有规范的管理服务流程，（包含但不限于：①内部管理架构、②工作流程、③自查制度、④激励机制、⑤信息反馈渠道、⑥服务标准；⑦餐厅环境卫生；⑧服务人员个人卫生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投标人应提供合理的价格方案，进行成本控制（包括但不限于①问题分析；②具体措施；③最终目标）等方面，按其响应程度进行综合赋分。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各投标人在满足磋商文件要求以及本项目人员组织的基础上，制定具体的人员配备方案（包括但不限于①人员岗位职责；②人员组成；③人员管理制度；④相关奖惩措施；⑤人员的从业资格证、健康证等证明材料）等方面，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针对本项目服务制定具体的服务承诺（包括但不限于①服务的响应时间；②所提供服务的重点及难点解决措施；③安全质量承诺等），按其响应程度进行综合赋分。 （1）每有一项内容进行了详细阐述且完全满足项目需求的，得2分； （2）每有一项内容进行了阐述且基本满足项目需求的，得1分； （3）每有一项内容进行了阐述但并未完全满足项目需求，或内容未包括细节或措施的，得0.5分；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投标人提供自2023年1月1日以来（以合同签订时间为准）类似项目业绩，每提供1份合同得1分，最高得5分。 注：以合同复印件加盖公章为准。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投标报价得分=（评标基准价/投标报价）×价格权值（即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详见附件：供应商认为应该提交的其他资料.docx</w:t>
      </w:r>
    </w:p>
    <w:p>
      <w:pPr>
        <w:pStyle w:val="null3"/>
        <w:ind w:firstLine="960"/>
      </w:pPr>
      <w:r>
        <w:rPr>
          <w:rFonts w:ascii="仿宋_GB2312" w:hAnsi="仿宋_GB2312" w:cs="仿宋_GB2312" w:eastAsia="仿宋_GB2312"/>
        </w:rPr>
        <w:t>详见附件：合同条款响应表.docx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