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版本号：0617-2624FZ018320260317001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放射科（南院区）数字化动态X线透视摄影系统购置维保服务项目(二次)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0617-2624FZ0183</w:t>
      </w:r>
      <w:r>
        <w:br/>
      </w:r>
      <w:r>
        <w:br/>
      </w:r>
      <w:r>
        <w:br/>
      </w:r>
    </w:p>
    <w:p>
      <w:pPr>
        <w:pStyle w:val="null3"/>
        <w:jc w:val="center"/>
        <w:outlineLvl w:val="2"/>
      </w:pPr>
      <w:r>
        <w:rPr>
          <w:rFonts w:ascii="仿宋_GB2312" w:hAnsi="仿宋_GB2312" w:cs="仿宋_GB2312" w:eastAsia="仿宋_GB2312"/>
          <w:sz w:val="28"/>
          <w:b/>
        </w:rPr>
        <w:t>西安市红会医院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西安市红会医院</w:t>
      </w:r>
      <w:r>
        <w:rPr>
          <w:rFonts w:ascii="仿宋_GB2312" w:hAnsi="仿宋_GB2312" w:cs="仿宋_GB2312" w:eastAsia="仿宋_GB2312"/>
        </w:rPr>
        <w:t>委托，拟对</w:t>
      </w:r>
      <w:r>
        <w:rPr>
          <w:rFonts w:ascii="仿宋_GB2312" w:hAnsi="仿宋_GB2312" w:cs="仿宋_GB2312" w:eastAsia="仿宋_GB2312"/>
        </w:rPr>
        <w:t>放射科（南院区）数字化动态X线透视摄影系统购置维保服务项目(二次)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0617-2624FZ0183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放射科（南院区）数字化动态X线透视摄影系统购置维保服务项目(二次)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数字化动态X射线/摄影系统设备整机维保三年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1、提供第二类医疗器械经营备案凭证：提供第二类医疗器械经营备案凭证</w:t>
      </w:r>
    </w:p>
    <w:p>
      <w:pPr>
        <w:pStyle w:val="null3"/>
      </w:pPr>
      <w:r>
        <w:rPr>
          <w:rFonts w:ascii="仿宋_GB2312" w:hAnsi="仿宋_GB2312" w:cs="仿宋_GB2312" w:eastAsia="仿宋_GB2312"/>
        </w:rPr>
        <w:t>2、授权委托书/法定代表人身份证明：提供法定代表人授权书 (附法定代表人、被授权人身份证复印件) 或提供法定代表人身份证明及身份证复印件（法定代表人直接参加磋商)。</w:t>
      </w:r>
    </w:p>
    <w:p>
      <w:pPr>
        <w:pStyle w:val="null3"/>
      </w:pPr>
      <w:r>
        <w:rPr>
          <w:rFonts w:ascii="仿宋_GB2312" w:hAnsi="仿宋_GB2312" w:cs="仿宋_GB2312" w:eastAsia="仿宋_GB2312"/>
        </w:rPr>
        <w:t>3、信用要求：“信用中国”网站（www.creditchina.gov.cn）和“中国政府采购网”（ccgp.gov.cn）为供应商信用信息查询渠道，如果供应商被查实在磋商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4、其他要求：本项目不接受由西安市红会医院职工及其亲属投资举办的企业参加磋商（提供承诺函）</w:t>
      </w:r>
    </w:p>
    <w:p>
      <w:pPr>
        <w:pStyle w:val="null3"/>
      </w:pPr>
      <w:r>
        <w:rPr>
          <w:rFonts w:ascii="仿宋_GB2312" w:hAnsi="仿宋_GB2312" w:cs="仿宋_GB2312" w:eastAsia="仿宋_GB2312"/>
        </w:rPr>
        <w:t>5、是否接受联合体：不接受联合体磋商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西安市红会医院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西安市南稍门友谊东路555号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西安市红会医院经办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02986520792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王崇博 周小方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乙方应当在中标结果公示发布后五个工作日内将项目履约保证金（中标总额的5%）转账至甲方基本户,未按照招标文件要求按时足额缴纳履约保证金的，甲方将取消乙方中标资格（《中华人民共和国招标投标法实施条例 》第七十四条），甲方按照评审报告推荐的成交候选人名单排序，确定下一候选人为中标或者成交供应商（《中华人民共和国政府采购法实施条例》第四十九条），合同约定事宜完成，所有设备功能完好，无息返还履约保证金。 （2）甲方基本户： 户名：西安市红会医院 账号：102407334632 开户行：中行西安长安路支行 转账请注明用途</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关于印发&lt;招标代理服务收费管理暂行办法&gt;的通知》（计价格[2002]1980号）规定标准下浮20%收取。成交供应商在领取成交通知书前，须向采购代理机构一次性支付代理服务费。开户名称：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西安市红会医院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西安市红会医院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西安市红会医院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联系人：综合监督管理处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数字化动态X射线/摄影系统设备整机维保三年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设备维修服务</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标的名称：设备维修服务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技术要求</w:t>
            </w:r>
            <w:r>
              <w:rPr>
                <w:rFonts w:ascii="仿宋_GB2312" w:hAnsi="仿宋_GB2312" w:cs="仿宋_GB2312" w:eastAsia="仿宋_GB2312"/>
                <w:sz w:val="24"/>
                <w:b/>
              </w:rPr>
              <w:t>：</w:t>
            </w:r>
          </w:p>
          <w:p>
            <w:pPr>
              <w:pStyle w:val="null3"/>
            </w:pPr>
            <w:r>
              <w:rPr>
                <w:rFonts w:ascii="仿宋_GB2312" w:hAnsi="仿宋_GB2312" w:cs="仿宋_GB2312" w:eastAsia="仿宋_GB2312"/>
                <w:sz w:val="18"/>
              </w:rPr>
              <w:t>1.</w:t>
            </w:r>
            <w:r>
              <w:rPr>
                <w:rFonts w:ascii="仿宋_GB2312" w:hAnsi="仿宋_GB2312" w:cs="仿宋_GB2312" w:eastAsia="仿宋_GB2312"/>
                <w:sz w:val="18"/>
              </w:rPr>
              <w:t>品牌：岛津、型号</w:t>
            </w:r>
            <w:r>
              <w:rPr>
                <w:rFonts w:ascii="仿宋_GB2312" w:hAnsi="仿宋_GB2312" w:cs="仿宋_GB2312" w:eastAsia="仿宋_GB2312"/>
                <w:sz w:val="18"/>
              </w:rPr>
              <w:t>Uni-Vision</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全保服务范围：设备整机（含球管、探测器等所有耗材及核心部件）质保，提供原厂全新配件更换；涵盖人工、日常维护、定期保养、故障检测修复、远程诊断，支持不限次紧急叫修，配件</w:t>
            </w:r>
            <w:r>
              <w:rPr>
                <w:rFonts w:ascii="仿宋_GB2312" w:hAnsi="仿宋_GB2312" w:cs="仿宋_GB2312" w:eastAsia="仿宋_GB2312"/>
                <w:sz w:val="18"/>
              </w:rPr>
              <w:t>48小时内到货（不可抗力除外）。</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预防性维保要求：每年不少于</w:t>
            </w:r>
            <w:r>
              <w:rPr>
                <w:rFonts w:ascii="仿宋_GB2312" w:hAnsi="仿宋_GB2312" w:cs="仿宋_GB2312" w:eastAsia="仿宋_GB2312"/>
                <w:sz w:val="18"/>
              </w:rPr>
              <w:t>4次预防性保养，含系统运行检查、清洁除尘、安全检测、影像质量校准、参数评判、性能测试、机电检查及软件维护等；每次保养出具双方签字确认的报告单，年度提交设备运行维护报告，维保到期前完成全面检测。</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.开机率保障：全年设备开机率≥97%（按365天计算），每低1天保修顺延7天；开机率低于85%视为乙方违约，甲方有权书面解除合同。</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配件要求：</w:t>
            </w:r>
          </w:p>
          <w:p>
            <w:pPr>
              <w:pStyle w:val="null3"/>
              <w:jc w:val="both"/>
            </w:pPr>
            <w:r>
              <w:rPr>
                <w:rFonts w:ascii="仿宋_GB2312" w:hAnsi="仿宋_GB2312" w:cs="仿宋_GB2312" w:eastAsia="仿宋_GB2312"/>
                <w:sz w:val="18"/>
              </w:rPr>
              <w:t>- 所有耗材及配件（含高真空元器件、球管、FDP平板等）均为原厂全新正品，符合设备原厂技术标准及国家医疗器械相关规范；其中属于第二类或第三类医疗器械的配件，须具备有效期内的《医疗器械注册证》</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 配件需提供合法来源证明、原厂出厂合格证、质量检测报告、原厂授权书及《医疗器械注册证》（第二类 / 第三类医疗器械配件适用），同时附配件质量承诺书，明确承诺非翻新、非替代、非二手配件，且注册证真实有效；- 质保期内出现非人为损坏故障，</w:t>
            </w:r>
            <w:r>
              <w:rPr>
                <w:rFonts w:ascii="仿宋_GB2312" w:hAnsi="仿宋_GB2312" w:cs="仿宋_GB2312" w:eastAsia="仿宋_GB2312"/>
                <w:sz w:val="18"/>
              </w:rPr>
              <w:t>负责</w:t>
            </w:r>
            <w:r>
              <w:rPr>
                <w:rFonts w:ascii="仿宋_GB2312" w:hAnsi="仿宋_GB2312" w:cs="仿宋_GB2312" w:eastAsia="仿宋_GB2312"/>
                <w:sz w:val="18"/>
              </w:rPr>
              <w:t>更换同型号原厂配件；</w:t>
            </w:r>
          </w:p>
          <w:p>
            <w:pPr>
              <w:pStyle w:val="null3"/>
            </w:pPr>
            <w:r>
              <w:rPr>
                <w:rFonts w:ascii="仿宋_GB2312" w:hAnsi="仿宋_GB2312" w:cs="仿宋_GB2312" w:eastAsia="仿宋_GB2312"/>
                <w:sz w:val="18"/>
              </w:rPr>
              <w:t>- 国内设有专项配件仓储库，确保核心配件常备库存。</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8"/>
                <w:b/>
              </w:rPr>
              <w:t>服务</w:t>
            </w:r>
            <w:r>
              <w:rPr>
                <w:rFonts w:ascii="仿宋_GB2312" w:hAnsi="仿宋_GB2312" w:cs="仿宋_GB2312" w:eastAsia="仿宋_GB2312"/>
                <w:sz w:val="28"/>
                <w:b/>
              </w:rPr>
              <w:t>要求</w:t>
            </w:r>
            <w:r>
              <w:rPr>
                <w:rFonts w:ascii="仿宋_GB2312" w:hAnsi="仿宋_GB2312" w:cs="仿宋_GB2312" w:eastAsia="仿宋_GB2312"/>
                <w:sz w:val="28"/>
                <w:b/>
              </w:rPr>
              <w:t>：</w:t>
            </w:r>
          </w:p>
          <w:p>
            <w:pPr>
              <w:pStyle w:val="null3"/>
            </w:pPr>
            <w:r>
              <w:rPr>
                <w:rFonts w:ascii="仿宋_GB2312" w:hAnsi="仿宋_GB2312" w:cs="仿宋_GB2312" w:eastAsia="仿宋_GB2312"/>
                <w:sz w:val="18"/>
              </w:rPr>
              <w:t>1. 维修响应时效：接到报修1小时内响应并提供方案；需现场维修时，持证工程师3小时内抵达（含法定节假日）；无配件更换故障24小时内修复，涉及配件更换48小时内修复（不可抗力除外）。</w:t>
            </w:r>
          </w:p>
          <w:p>
            <w:pPr>
              <w:pStyle w:val="null3"/>
            </w:pPr>
            <w:r>
              <w:rPr>
                <w:rFonts w:ascii="仿宋_GB2312" w:hAnsi="仿宋_GB2312" w:cs="仿宋_GB2312" w:eastAsia="仿宋_GB2312"/>
                <w:sz w:val="18"/>
              </w:rPr>
              <w:t>2. 应用技术培训：免费提供不限次设备应用技术指导与应用培训；每年至少开展1次科室机修人员规范化技能培训，培训后提交培训报告，确保相关人员掌握基础维保技能。</w:t>
            </w:r>
          </w:p>
          <w:p>
            <w:pPr>
              <w:pStyle w:val="null3"/>
            </w:pPr>
            <w:r>
              <w:rPr>
                <w:rFonts w:ascii="仿宋_GB2312" w:hAnsi="仿宋_GB2312" w:cs="仿宋_GB2312" w:eastAsia="仿宋_GB2312"/>
                <w:sz w:val="18"/>
              </w:rPr>
              <w:t>3. 年度评估总结：年末出具详细维保评估总结报告，汇总全年故障次数、故障类别、更换配件的具体数量及对应费用；全面评估设备运行状况，结合设备使用年限及故障规律，提出针对性的优化使用及维护建议。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具有2名（含）以上医用影像类设备维修经验的维修工程师，且具备原设备厂家或其国内设立的分支机构培训证书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具有该设备专业维修工具，并提供工具清单及工具图片。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西安市红会医院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（一）按国家现行项目实施规范和合同规定的验收评定标准等要求进行验收。 （二）验收以合同、磋商文件、响应文件、澄清表（函）为依据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分六期付款，每执行半年，经甲方确认验收后，支付当年合同款的50%。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分六期付款，每执行半年，经甲方确认验收后，支付当年合同款的50%。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*本项目商务条款不可偏离。(提供商务条款承诺书)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 自然人的身份证明； 2.提供缴费所属日期为磋商响应文件递交截止时间前12个月内任一月份（磋商响应文件递交截止时间当月不计入）的增值税（或所得税）缴费凭据或税务机关出具的完税证明/在法规范围内不需提供的应出具书面说明和证明文件； /或具有依法缴纳税收的诚信声明； 以上二种形式的资料提供任何一种即可； 3.提供缴费所属日期为磋商响应文件递交截止时间前12个月内任一月份（磋商响应文件递交截止时间当月不计入）的缴费凭据或社保机关出具的缴费证明/在法规范围内不需提供的应出具书面说明和证明文件； /或具有依法缴纳社会保障资金的缴纳记录的诚信声明； 以上二种形式的资料提供任何一种即可；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提供2024年至今任意一年度经审计的财务报告（包括四表一注，即资产负债表、利润表、现金流量表、所有者权益变动表及其附注），且无反对意见；事业法人提供部门决算报告；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资格证明资料.docx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提供第二类医疗器械经营备案凭证</w:t>
            </w:r>
          </w:p>
        </w:tc>
        <w:tc>
          <w:tcPr>
            <w:tcW w:type="dxa" w:w="3322"/>
          </w:tcPr>
          <w:p>
            <w:pPr>
              <w:pStyle w:val="null3"/>
            </w:pPr>
            <w:r>
              <w:rPr>
                <w:rFonts w:ascii="仿宋_GB2312" w:hAnsi="仿宋_GB2312" w:cs="仿宋_GB2312" w:eastAsia="仿宋_GB2312"/>
              </w:rPr>
              <w:t>提供第二类医疗器械经营备案凭证</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或提供法定代表人身份证明及身份证复印件（法定代表人直接参加磋商)。</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磋商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本项目不接受由西安市红会医院职工及其亲属投资举办的企业参加磋商（提供承诺函）</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是否接受联合体</w:t>
            </w:r>
          </w:p>
        </w:tc>
        <w:tc>
          <w:tcPr>
            <w:tcW w:type="dxa" w:w="3322"/>
          </w:tcPr>
          <w:p>
            <w:pPr>
              <w:pStyle w:val="null3"/>
            </w:pPr>
            <w:r>
              <w:rPr>
                <w:rFonts w:ascii="仿宋_GB2312" w:hAnsi="仿宋_GB2312" w:cs="仿宋_GB2312" w:eastAsia="仿宋_GB2312"/>
              </w:rPr>
              <w:t>不接受联合体磋商</w:t>
            </w:r>
          </w:p>
        </w:tc>
        <w:tc>
          <w:tcPr>
            <w:tcW w:type="dxa" w:w="1661"/>
          </w:tcPr>
          <w:p>
            <w:pPr>
              <w:pStyle w:val="null3"/>
            </w:pPr>
            <w:r>
              <w:rPr>
                <w:rFonts w:ascii="仿宋_GB2312" w:hAnsi="仿宋_GB2312" w:cs="仿宋_GB2312" w:eastAsia="仿宋_GB2312"/>
              </w:rPr>
              <w:t>响应函 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3.存在下列情形之一的，评审委员会应当启动异常低价投标（响应）审查程序：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1.磋商响应文件上法定代表人或其授权代表人的签字齐全并按要求加盖公章；2.只能有一个有效报价，不得提交选择性报价，且报价不超过采购预算金额或最高限价；3.不存在采购文件及法律法规规定的无效情形。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监狱企业的证明文件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1、磋商响应文件是否包含磋商报价表、响应函、技术和商务响应文件；2、磋商报价完整，不得只对采购需求部分内容进行报价。</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监狱企业的证明文件 资格证明资料.docx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w:t>
            </w:r>
          </w:p>
        </w:tc>
        <w:tc>
          <w:tcPr>
            <w:tcW w:type="dxa" w:w="2492"/>
          </w:tcPr>
          <w:p>
            <w:pPr>
              <w:pStyle w:val="null3"/>
            </w:pPr>
            <w:r>
              <w:rPr>
                <w:rFonts w:ascii="仿宋_GB2312" w:hAnsi="仿宋_GB2312" w:cs="仿宋_GB2312" w:eastAsia="仿宋_GB2312"/>
              </w:rPr>
              <w:t>保修类型、保修范围、设备开机率等服务内容满足要求得6分，每负偏离一项扣2分，扣完为止。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 1</w:t>
            </w:r>
          </w:p>
        </w:tc>
        <w:tc>
          <w:tcPr>
            <w:tcW w:type="dxa" w:w="2492"/>
          </w:tcPr>
          <w:p>
            <w:pPr>
              <w:pStyle w:val="null3"/>
            </w:pPr>
            <w:r>
              <w:rPr>
                <w:rFonts w:ascii="仿宋_GB2312" w:hAnsi="仿宋_GB2312" w:cs="仿宋_GB2312" w:eastAsia="仿宋_GB2312"/>
              </w:rPr>
              <w:t>提供针对本次维保设备以下内容的服务方案： ①定期专业维护保养、②除尘清洁、③质量安全检查、④运行状况。 方案各项内容全面详细、阐述条理清晰、内容合理，贴合项目的实际情况，能有效保障本项目实施得10分，每缺项一项扣2.5分，每有一项内容存在缺陷，扣1分。 备注：缺陷是指内容不详细、内容不合理、虽有内容但不完善、内容不贴合项目实际情况。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 2</w:t>
            </w:r>
          </w:p>
        </w:tc>
        <w:tc>
          <w:tcPr>
            <w:tcW w:type="dxa" w:w="2492"/>
          </w:tcPr>
          <w:p>
            <w:pPr>
              <w:pStyle w:val="null3"/>
            </w:pPr>
            <w:r>
              <w:rPr>
                <w:rFonts w:ascii="仿宋_GB2312" w:hAnsi="仿宋_GB2312" w:cs="仿宋_GB2312" w:eastAsia="仿宋_GB2312"/>
              </w:rPr>
              <w:t>提供针对本次维保设备以下内容的服务方案： ①必要的机械检查、②图像质量检查、③性能测试及校准、④数据备份。 方案各项内容全面详细、阐述条理清晰、内容合理，贴合项目的实际情况，能有效保障本项目实施得10分，每缺项一项扣2.5分，每有一项内容存在缺陷，扣1分。 备注：缺陷是指内容不详细、内容不合理、虽有内容但不完善、内容不贴合项目实际情况。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 3</w:t>
            </w:r>
          </w:p>
        </w:tc>
        <w:tc>
          <w:tcPr>
            <w:tcW w:type="dxa" w:w="2492"/>
          </w:tcPr>
          <w:p>
            <w:pPr>
              <w:pStyle w:val="null3"/>
            </w:pPr>
            <w:r>
              <w:rPr>
                <w:rFonts w:ascii="仿宋_GB2312" w:hAnsi="仿宋_GB2312" w:cs="仿宋_GB2312" w:eastAsia="仿宋_GB2312"/>
              </w:rPr>
              <w:t>提供针对本次维保设备以下内容的服务方案： ①开机保障率保证措施及承诺、②非紧急型的补救性维修方案、③突发特殊情况处理办法。 方案各项内容全面详细、阐述条理清晰、内容合理，贴合项目的实际情况，能有效保障本项目实施得9分，每缺项一项扣3分，每有一项内容存在缺陷，扣1.5分。 备注：缺陷是指内容不详细、内容不合理、虽有内容但不完善、内容不贴合项目实际情况。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 4</w:t>
            </w:r>
          </w:p>
        </w:tc>
        <w:tc>
          <w:tcPr>
            <w:tcW w:type="dxa" w:w="2492"/>
          </w:tcPr>
          <w:p>
            <w:pPr>
              <w:pStyle w:val="null3"/>
            </w:pPr>
            <w:r>
              <w:rPr>
                <w:rFonts w:ascii="仿宋_GB2312" w:hAnsi="仿宋_GB2312" w:cs="仿宋_GB2312" w:eastAsia="仿宋_GB2312"/>
              </w:rPr>
              <w:t>为本次维保设备制定规范化服务制度，包含：①设备运行时状况分析、②设备存在问题及建议、③设备维修后的验收、使用、保养、校准、资料管理、报废更新等内容。 方案各项内容全面详细、阐述条理清晰、内容合理，贴合项目的实际情况，能有效保障本项目实施得9分，每缺项一项扣3分，每有一项内容存在缺陷，扣1.5分。 备注：缺陷是指内容不详细、内容不合理、虽有内容但不完善、内容不贴合项目实际情况。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工具配置</w:t>
            </w:r>
          </w:p>
        </w:tc>
        <w:tc>
          <w:tcPr>
            <w:tcW w:type="dxa" w:w="2492"/>
          </w:tcPr>
          <w:p>
            <w:pPr>
              <w:pStyle w:val="null3"/>
            </w:pPr>
            <w:r>
              <w:rPr>
                <w:rFonts w:ascii="仿宋_GB2312" w:hAnsi="仿宋_GB2312" w:cs="仿宋_GB2312" w:eastAsia="仿宋_GB2312"/>
              </w:rPr>
              <w:t>供应商提供的专业维修工具包含以下内容：①专业性、②全面性。 1.提供的维修工具专业性高，种类齐全，以上2项每项得3分； 2.提供的维修工具专业性较好，种类较为齐全，以上2项每项得2分； 3.提供的维修工具专业性较差，种类不齐全，以上2项每项得1分。 4.缺项不得分。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零备件 供应</w:t>
            </w:r>
          </w:p>
        </w:tc>
        <w:tc>
          <w:tcPr>
            <w:tcW w:type="dxa" w:w="2492"/>
          </w:tcPr>
          <w:p>
            <w:pPr>
              <w:pStyle w:val="null3"/>
            </w:pPr>
            <w:r>
              <w:rPr>
                <w:rFonts w:ascii="仿宋_GB2312" w:hAnsi="仿宋_GB2312" w:cs="仿宋_GB2312" w:eastAsia="仿宋_GB2312"/>
              </w:rPr>
              <w:t>供应商针对本项目更换的配件、备件为原厂、全新产品。提供证明材料。 1.零备件供应充足，来源渠道正规，得6分； 2.零备件供应调配能力基本满足需求，得3分； 3.零备件供应调配能力较差，得1分。 4.缺项不得分。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人员能力</w:t>
            </w:r>
          </w:p>
        </w:tc>
        <w:tc>
          <w:tcPr>
            <w:tcW w:type="dxa" w:w="2492"/>
          </w:tcPr>
          <w:p>
            <w:pPr>
              <w:pStyle w:val="null3"/>
            </w:pPr>
            <w:r>
              <w:rPr>
                <w:rFonts w:ascii="仿宋_GB2312" w:hAnsi="仿宋_GB2312" w:cs="仿宋_GB2312" w:eastAsia="仿宋_GB2312"/>
              </w:rPr>
              <w:t>具有2名（含）以上医用影像类设备维修经验的维修工程师，且具备原设备厂家或其国内设立的分支机构培训证书。少于2人（含2人）不得分，每多提供1人得2.5分，最多5分.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供应商提供健全的服务质量保障制度，包含：①质量保障计划及措施、②能保证维修设备可靠、稳定的使用、③充分发挥产品性能。 1.服务质量保障制度、体系合理、清晰、完善，具体措施得当、有效，可行性高，以上3项每项得3分； 2.服务质量保障制度、体系基本合理、清晰、较为完善，具体措施较为有效，可行性较高，以上3项每项得2分； 3.服务质量保障制度、体系基本完善，有一定的可行性，以上3项每项得1分。 4.缺项不得分。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提供针对本项目的应急预案，包含：①故障响应时限、②到达服务现场响应时限、③备件供应、④突发事件处理措施等： 1.服务方案科学、合理、全面、完整、可操作性强，针对性高，以上4项每项得2.5分； 2.服务方案较为全面、基本可行，具有一定的可操作性及针对性，以上4项每项得1.5分； 3.服务方案描述一般，可操作性较差，无针对性，以上4项每项得0.5分。 4.缺项不得分。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供应商提供2023年1月1日至至磋商日为止同品牌同类型设备维保业绩（业绩清单、对应合同及中标结果网页截图），每提供一份有效合同复印件及中标结果网页截图得2分,最多10分。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1.经初审合格的磋商响应文件，其磋商报价为有效磋商报价，对其价格（评审价格）进行价格评审。 2.满足磋商文件实质性要求且最终报价最低的供应商的价格为磋商基准价，其价格分10分。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