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522A9">
      <w:pPr>
        <w:pStyle w:val="6"/>
        <w:spacing w:line="360" w:lineRule="auto"/>
        <w:jc w:val="center"/>
        <w:outlineLvl w:val="1"/>
        <w:rPr>
          <w:rFonts w:hint="default" w:ascii="仿宋_GB2312" w:eastAsia="仿宋_GB2312"/>
          <w:highlight w:val="none"/>
        </w:rPr>
      </w:pPr>
      <w:r>
        <w:rPr>
          <w:rFonts w:ascii="仿宋_GB2312" w:eastAsia="仿宋_GB2312"/>
          <w:b/>
          <w:sz w:val="36"/>
          <w:highlight w:val="none"/>
        </w:rPr>
        <w:t>第八章 拟签订采购合同文本</w:t>
      </w:r>
    </w:p>
    <w:p w14:paraId="22258E8F">
      <w:pPr>
        <w:spacing w:line="600" w:lineRule="exact"/>
        <w:ind w:left="198"/>
        <w:jc w:val="center"/>
        <w:rPr>
          <w:rFonts w:ascii="仿宋" w:hAnsi="仿宋" w:eastAsia="仿宋"/>
          <w:b/>
          <w:sz w:val="44"/>
          <w:szCs w:val="32"/>
          <w:highlight w:val="none"/>
        </w:rPr>
      </w:pPr>
    </w:p>
    <w:p w14:paraId="1A1163C7">
      <w:pPr>
        <w:spacing w:line="600" w:lineRule="exact"/>
        <w:ind w:left="198"/>
        <w:jc w:val="center"/>
        <w:rPr>
          <w:rFonts w:ascii="仿宋" w:hAnsi="仿宋" w:eastAsia="仿宋"/>
          <w:b/>
          <w:sz w:val="44"/>
          <w:szCs w:val="32"/>
          <w:highlight w:val="none"/>
        </w:rPr>
      </w:pPr>
    </w:p>
    <w:p w14:paraId="645C5828">
      <w:pPr>
        <w:spacing w:line="600" w:lineRule="exact"/>
        <w:ind w:left="198"/>
        <w:jc w:val="center"/>
        <w:rPr>
          <w:rFonts w:ascii="仿宋" w:hAnsi="仿宋" w:eastAsia="仿宋"/>
          <w:b/>
          <w:sz w:val="44"/>
          <w:szCs w:val="32"/>
          <w:highlight w:val="none"/>
        </w:rPr>
      </w:pPr>
    </w:p>
    <w:p w14:paraId="66A3CCD9">
      <w:pPr>
        <w:spacing w:line="600" w:lineRule="exact"/>
        <w:ind w:left="198"/>
        <w:jc w:val="center"/>
        <w:rPr>
          <w:rFonts w:ascii="仿宋" w:hAnsi="仿宋" w:eastAsia="仿宋"/>
          <w:b/>
          <w:sz w:val="44"/>
          <w:szCs w:val="32"/>
          <w:highlight w:val="none"/>
        </w:rPr>
      </w:pPr>
      <w:r>
        <w:rPr>
          <w:rFonts w:hint="eastAsia" w:ascii="仿宋" w:hAnsi="仿宋" w:eastAsia="仿宋"/>
          <w:b/>
          <w:sz w:val="44"/>
          <w:szCs w:val="32"/>
          <w:highlight w:val="none"/>
        </w:rPr>
        <w:t>西安市红会医院放射科（南院区）数字化动态X线透视摄影系统购置维保服务项目</w:t>
      </w:r>
    </w:p>
    <w:p w14:paraId="3529E355">
      <w:pPr>
        <w:ind w:left="703"/>
        <w:rPr>
          <w:rFonts w:ascii="仿宋" w:hAnsi="仿宋" w:eastAsia="仿宋" w:cs="仿宋_GB2312"/>
          <w:b/>
          <w:spacing w:val="-20"/>
          <w:sz w:val="32"/>
          <w:szCs w:val="32"/>
          <w:highlight w:val="none"/>
        </w:rPr>
      </w:pPr>
    </w:p>
    <w:p w14:paraId="3FEBA1B2">
      <w:pPr>
        <w:jc w:val="center"/>
        <w:rPr>
          <w:rFonts w:ascii="仿宋" w:hAnsi="仿宋" w:eastAsia="仿宋" w:cs="仿宋_GB2312"/>
          <w:b/>
          <w:sz w:val="44"/>
          <w:szCs w:val="44"/>
          <w:highlight w:val="none"/>
        </w:rPr>
      </w:pPr>
    </w:p>
    <w:p w14:paraId="3684F3B8">
      <w:pPr>
        <w:jc w:val="center"/>
        <w:rPr>
          <w:rFonts w:ascii="仿宋" w:hAnsi="仿宋" w:eastAsia="仿宋" w:cs="仿宋_GB2312"/>
          <w:b/>
          <w:sz w:val="44"/>
          <w:szCs w:val="44"/>
          <w:highlight w:val="none"/>
        </w:rPr>
      </w:pPr>
    </w:p>
    <w:p w14:paraId="124A87DE">
      <w:pPr>
        <w:jc w:val="center"/>
        <w:rPr>
          <w:rFonts w:ascii="仿宋" w:hAnsi="仿宋" w:eastAsia="仿宋" w:cs="仿宋_GB2312"/>
          <w:b/>
          <w:sz w:val="44"/>
          <w:szCs w:val="44"/>
          <w:highlight w:val="none"/>
        </w:rPr>
      </w:pPr>
      <w:r>
        <w:rPr>
          <w:rFonts w:hint="eastAsia" w:ascii="仿宋" w:hAnsi="仿宋" w:eastAsia="仿宋" w:cs="仿宋_GB2312"/>
          <w:b/>
          <w:sz w:val="44"/>
          <w:szCs w:val="44"/>
          <w:highlight w:val="none"/>
        </w:rPr>
        <w:t>西安市红会医院</w:t>
      </w:r>
    </w:p>
    <w:p w14:paraId="1502D649">
      <w:pPr>
        <w:jc w:val="center"/>
        <w:rPr>
          <w:rFonts w:ascii="仿宋" w:hAnsi="仿宋" w:eastAsia="仿宋" w:cs="仿宋_GB2312"/>
          <w:b/>
          <w:sz w:val="44"/>
          <w:szCs w:val="44"/>
          <w:highlight w:val="none"/>
        </w:rPr>
      </w:pPr>
      <w:r>
        <w:rPr>
          <w:rFonts w:hint="eastAsia" w:ascii="仿宋" w:hAnsi="仿宋" w:eastAsia="仿宋" w:cs="仿宋_GB2312"/>
          <w:b/>
          <w:sz w:val="44"/>
          <w:szCs w:val="44"/>
          <w:highlight w:val="none"/>
        </w:rPr>
        <w:t>服 务 合 同</w:t>
      </w:r>
    </w:p>
    <w:p w14:paraId="6822CFB0">
      <w:pPr>
        <w:ind w:left="803"/>
        <w:rPr>
          <w:rFonts w:ascii="仿宋" w:hAnsi="仿宋" w:eastAsia="仿宋" w:cs="仿宋_GB2312"/>
          <w:sz w:val="32"/>
          <w:szCs w:val="32"/>
          <w:highlight w:val="none"/>
        </w:rPr>
      </w:pPr>
    </w:p>
    <w:p w14:paraId="787C1E0E">
      <w:pPr>
        <w:ind w:left="803"/>
        <w:rPr>
          <w:rFonts w:ascii="仿宋" w:hAnsi="仿宋" w:eastAsia="仿宋" w:cs="仿宋_GB2312"/>
          <w:sz w:val="32"/>
          <w:szCs w:val="32"/>
          <w:highlight w:val="none"/>
        </w:rPr>
      </w:pPr>
    </w:p>
    <w:p w14:paraId="1819971A">
      <w:pPr>
        <w:rPr>
          <w:rFonts w:ascii="仿宋" w:hAnsi="仿宋" w:eastAsia="仿宋" w:cs="仿宋_GB2312"/>
          <w:sz w:val="32"/>
          <w:szCs w:val="32"/>
          <w:highlight w:val="none"/>
        </w:rPr>
      </w:pPr>
    </w:p>
    <w:p w14:paraId="0E490CBD">
      <w:pPr>
        <w:ind w:left="803"/>
        <w:rPr>
          <w:rFonts w:ascii="仿宋" w:hAnsi="仿宋" w:eastAsia="仿宋" w:cs="仿宋_GB2312"/>
          <w:sz w:val="32"/>
          <w:szCs w:val="32"/>
          <w:highlight w:val="none"/>
        </w:rPr>
      </w:pPr>
    </w:p>
    <w:p w14:paraId="66E1A3A4">
      <w:pPr>
        <w:pStyle w:val="3"/>
        <w:rPr>
          <w:highlight w:val="none"/>
        </w:rPr>
      </w:pPr>
    </w:p>
    <w:p w14:paraId="4A37D115">
      <w:pPr>
        <w:rPr>
          <w:rFonts w:ascii="仿宋" w:hAnsi="仿宋" w:eastAsia="仿宋" w:cs="仿宋_GB2312"/>
          <w:sz w:val="32"/>
          <w:szCs w:val="32"/>
          <w:highlight w:val="none"/>
        </w:rPr>
      </w:pPr>
    </w:p>
    <w:p w14:paraId="294D01DE">
      <w:pPr>
        <w:ind w:left="1280"/>
        <w:rPr>
          <w:rFonts w:ascii="仿宋" w:hAnsi="仿宋" w:eastAsia="仿宋" w:cs="仿宋_GB2312"/>
          <w:sz w:val="32"/>
          <w:szCs w:val="32"/>
          <w:highlight w:val="none"/>
        </w:rPr>
      </w:pPr>
      <w:r>
        <w:rPr>
          <w:rFonts w:hint="eastAsia" w:ascii="仿宋" w:hAnsi="仿宋" w:eastAsia="仿宋" w:cs="仿宋_GB2312"/>
          <w:sz w:val="32"/>
          <w:szCs w:val="32"/>
          <w:highlight w:val="none"/>
        </w:rPr>
        <w:t>甲  方：西安市红会医院</w:t>
      </w:r>
    </w:p>
    <w:p w14:paraId="7BF3EB73">
      <w:pPr>
        <w:ind w:left="1280"/>
        <w:rPr>
          <w:rFonts w:ascii="仿宋" w:hAnsi="仿宋" w:eastAsia="仿宋" w:cs="仿宋_GB2312"/>
          <w:sz w:val="32"/>
          <w:szCs w:val="32"/>
          <w:highlight w:val="none"/>
        </w:rPr>
      </w:pPr>
      <w:r>
        <w:rPr>
          <w:rFonts w:hint="eastAsia" w:ascii="仿宋" w:hAnsi="仿宋" w:eastAsia="仿宋" w:cs="仿宋_GB2312"/>
          <w:sz w:val="32"/>
          <w:szCs w:val="32"/>
          <w:highlight w:val="none"/>
        </w:rPr>
        <w:t>乙  方：</w:t>
      </w:r>
    </w:p>
    <w:p w14:paraId="3C5E70E9">
      <w:pPr>
        <w:jc w:val="center"/>
        <w:rPr>
          <w:rFonts w:hint="eastAsia" w:ascii="仿宋" w:hAnsi="仿宋" w:eastAsia="仿宋" w:cs="仿宋_GB2312"/>
          <w:sz w:val="32"/>
          <w:szCs w:val="32"/>
          <w:highlight w:val="none"/>
        </w:rPr>
      </w:pPr>
    </w:p>
    <w:p w14:paraId="0D8B26F4">
      <w:pPr>
        <w:jc w:val="center"/>
        <w:rPr>
          <w:rFonts w:ascii="仿宋" w:hAnsi="仿宋" w:eastAsia="仿宋" w:cs="仿宋_GB2312"/>
          <w:sz w:val="32"/>
          <w:szCs w:val="32"/>
          <w:highlight w:val="none"/>
        </w:rPr>
      </w:pPr>
      <w:r>
        <w:rPr>
          <w:rFonts w:hint="eastAsia" w:ascii="仿宋" w:hAnsi="仿宋" w:eastAsia="仿宋" w:cs="仿宋_GB2312"/>
          <w:sz w:val="32"/>
          <w:szCs w:val="32"/>
          <w:highlight w:val="none"/>
        </w:rPr>
        <w:t>202</w:t>
      </w:r>
      <w:r>
        <w:rPr>
          <w:rFonts w:hint="eastAsia" w:ascii="仿宋" w:hAnsi="仿宋" w:eastAsia="仿宋" w:cs="仿宋_GB2312"/>
          <w:sz w:val="32"/>
          <w:szCs w:val="32"/>
          <w:highlight w:val="none"/>
          <w:lang w:val="en-US" w:eastAsia="zh-CN"/>
        </w:rPr>
        <w:t>6</w:t>
      </w:r>
      <w:r>
        <w:rPr>
          <w:rFonts w:hint="eastAsia" w:ascii="仿宋" w:hAnsi="仿宋" w:eastAsia="仿宋" w:cs="仿宋_GB2312"/>
          <w:sz w:val="32"/>
          <w:szCs w:val="32"/>
          <w:highlight w:val="none"/>
        </w:rPr>
        <w:t>年</w:t>
      </w:r>
    </w:p>
    <w:p w14:paraId="376B60C5">
      <w:pPr>
        <w:jc w:val="center"/>
        <w:rPr>
          <w:rFonts w:ascii="仿宋" w:hAnsi="仿宋" w:eastAsia="仿宋" w:cs="仿宋_GB2312"/>
          <w:sz w:val="32"/>
          <w:szCs w:val="32"/>
          <w:highlight w:val="none"/>
        </w:rPr>
      </w:pPr>
      <w:r>
        <w:rPr>
          <w:rFonts w:hint="eastAsia" w:ascii="仿宋" w:hAnsi="仿宋" w:eastAsia="仿宋" w:cs="仿宋_GB2312"/>
          <w:sz w:val="32"/>
          <w:szCs w:val="32"/>
          <w:highlight w:val="none"/>
        </w:rPr>
        <w:t>中国  西安</w:t>
      </w:r>
    </w:p>
    <w:p w14:paraId="22CCB965">
      <w:pPr>
        <w:spacing w:line="400" w:lineRule="exact"/>
        <w:jc w:val="center"/>
        <w:rPr>
          <w:rFonts w:ascii="仿宋" w:hAnsi="仿宋" w:eastAsia="仿宋" w:cs="仿宋_GB2312"/>
          <w:b/>
          <w:sz w:val="32"/>
          <w:szCs w:val="32"/>
          <w:highlight w:val="none"/>
        </w:rPr>
      </w:pPr>
      <w:r>
        <w:rPr>
          <w:rFonts w:ascii="仿宋" w:hAnsi="仿宋" w:eastAsia="仿宋" w:cs="仿宋"/>
          <w:b/>
          <w:bCs/>
          <w:sz w:val="24"/>
          <w:highlight w:val="none"/>
          <w:lang w:val="zh-CN"/>
        </w:rPr>
        <w:br w:type="page"/>
      </w:r>
      <w:r>
        <w:rPr>
          <w:rFonts w:hint="eastAsia" w:ascii="仿宋" w:hAnsi="仿宋" w:eastAsia="仿宋" w:cs="仿宋_GB2312"/>
          <w:b/>
          <w:sz w:val="32"/>
          <w:szCs w:val="32"/>
          <w:highlight w:val="none"/>
        </w:rPr>
        <w:t>服 务 合 同</w:t>
      </w:r>
    </w:p>
    <w:p w14:paraId="23F7F2FD">
      <w:pPr>
        <w:spacing w:line="400" w:lineRule="exact"/>
        <w:rPr>
          <w:rFonts w:ascii="仿宋" w:hAnsi="仿宋" w:eastAsia="仿宋" w:cs="宋体"/>
          <w:sz w:val="24"/>
          <w:highlight w:val="none"/>
        </w:rPr>
      </w:pPr>
      <w:r>
        <w:rPr>
          <w:rFonts w:hint="eastAsia" w:ascii="仿宋" w:hAnsi="仿宋" w:eastAsia="仿宋" w:cs="宋体"/>
          <w:sz w:val="24"/>
          <w:highlight w:val="none"/>
        </w:rPr>
        <w:t>甲方：西安市红会医院</w:t>
      </w:r>
    </w:p>
    <w:p w14:paraId="220CC248">
      <w:pPr>
        <w:spacing w:line="400" w:lineRule="exact"/>
        <w:rPr>
          <w:rFonts w:ascii="仿宋" w:hAnsi="仿宋" w:eastAsia="仿宋" w:cs="宋体"/>
          <w:sz w:val="24"/>
          <w:highlight w:val="none"/>
        </w:rPr>
      </w:pPr>
      <w:r>
        <w:rPr>
          <w:rFonts w:hint="eastAsia" w:ascii="仿宋" w:hAnsi="仿宋" w:eastAsia="仿宋" w:cs="宋体"/>
          <w:sz w:val="24"/>
          <w:highlight w:val="none"/>
        </w:rPr>
        <w:t>乙方：</w:t>
      </w:r>
    </w:p>
    <w:p w14:paraId="5CF67288">
      <w:pPr>
        <w:spacing w:line="400" w:lineRule="exact"/>
        <w:rPr>
          <w:rFonts w:ascii="仿宋" w:hAnsi="仿宋" w:eastAsia="仿宋" w:cs="宋体"/>
          <w:sz w:val="24"/>
          <w:highlight w:val="none"/>
        </w:rPr>
      </w:pPr>
      <w:r>
        <w:rPr>
          <w:rFonts w:hint="eastAsia" w:ascii="仿宋" w:hAnsi="仿宋" w:eastAsia="仿宋" w:cs="宋体"/>
          <w:sz w:val="24"/>
          <w:highlight w:val="none"/>
        </w:rPr>
        <w:t>鉴证方：</w:t>
      </w:r>
    </w:p>
    <w:p w14:paraId="406B4FE3">
      <w:pPr>
        <w:spacing w:line="400" w:lineRule="exact"/>
        <w:ind w:firstLine="480" w:firstLineChars="200"/>
        <w:rPr>
          <w:rFonts w:ascii="仿宋" w:hAnsi="仿宋" w:eastAsia="仿宋" w:cs="宋体"/>
          <w:sz w:val="24"/>
          <w:highlight w:val="none"/>
        </w:rPr>
      </w:pPr>
      <w:r>
        <w:rPr>
          <w:rFonts w:hint="eastAsia" w:ascii="仿宋" w:hAnsi="仿宋" w:eastAsia="仿宋" w:cs="宋体"/>
          <w:sz w:val="24"/>
          <w:highlight w:val="none"/>
        </w:rPr>
        <w:t>甲方所需服务，按照采购程序，确定乙方为成交供应商。依据《中华人民共和国政府采购法》及实施条例、《中华人民共和国民法典》、成交供应商响应文件正本、成交通知书，经甲、乙双方协商，达成如下条款。</w:t>
      </w:r>
    </w:p>
    <w:p w14:paraId="7B6C8316">
      <w:pPr>
        <w:pStyle w:val="7"/>
        <w:widowControl/>
        <w:numPr>
          <w:ilvl w:val="0"/>
          <w:numId w:val="1"/>
        </w:numPr>
        <w:tabs>
          <w:tab w:val="left" w:pos="480"/>
          <w:tab w:val="left" w:pos="1146"/>
        </w:tabs>
        <w:spacing w:line="400" w:lineRule="exact"/>
        <w:ind w:firstLineChars="0"/>
        <w:jc w:val="left"/>
        <w:rPr>
          <w:rFonts w:ascii="仿宋" w:hAnsi="仿宋" w:eastAsia="仿宋" w:cs="宋体"/>
          <w:b/>
          <w:highlight w:val="none"/>
        </w:rPr>
      </w:pPr>
      <w:r>
        <w:rPr>
          <w:rFonts w:hint="eastAsia" w:ascii="仿宋" w:hAnsi="仿宋" w:eastAsia="仿宋" w:cs="宋体"/>
          <w:b/>
          <w:highlight w:val="none"/>
        </w:rPr>
        <w:t>合同标的物内容及数量</w:t>
      </w:r>
    </w:p>
    <w:p w14:paraId="258DB430">
      <w:pPr>
        <w:tabs>
          <w:tab w:val="left" w:pos="480"/>
        </w:tabs>
        <w:spacing w:line="400" w:lineRule="exact"/>
        <w:rPr>
          <w:rFonts w:ascii="仿宋" w:hAnsi="仿宋" w:eastAsia="仿宋" w:cs="宋体"/>
          <w:b/>
          <w:sz w:val="24"/>
          <w:highlight w:val="none"/>
        </w:rPr>
      </w:pPr>
      <w:r>
        <w:rPr>
          <w:rFonts w:hint="eastAsia" w:ascii="仿宋" w:hAnsi="仿宋" w:eastAsia="仿宋" w:cs="宋体"/>
          <w:sz w:val="24"/>
          <w:highlight w:val="none"/>
        </w:rPr>
        <w:t>（一）合同最高执行总价</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940"/>
        <w:gridCol w:w="2526"/>
        <w:gridCol w:w="2670"/>
      </w:tblGrid>
      <w:tr w14:paraId="749DD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176" w:type="dxa"/>
            <w:vAlign w:val="center"/>
          </w:tcPr>
          <w:p w14:paraId="443EC4E5">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序号</w:t>
            </w:r>
          </w:p>
        </w:tc>
        <w:tc>
          <w:tcPr>
            <w:tcW w:w="2940" w:type="dxa"/>
            <w:vAlign w:val="center"/>
          </w:tcPr>
          <w:p w14:paraId="4346D084">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名称</w:t>
            </w:r>
          </w:p>
        </w:tc>
        <w:tc>
          <w:tcPr>
            <w:tcW w:w="2526" w:type="dxa"/>
            <w:vAlign w:val="center"/>
          </w:tcPr>
          <w:p w14:paraId="5B3FD9E1">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数量</w:t>
            </w:r>
          </w:p>
        </w:tc>
        <w:tc>
          <w:tcPr>
            <w:tcW w:w="2670" w:type="dxa"/>
            <w:vAlign w:val="center"/>
          </w:tcPr>
          <w:p w14:paraId="60F1E273">
            <w:pPr>
              <w:spacing w:line="400" w:lineRule="exact"/>
              <w:rPr>
                <w:rFonts w:ascii="仿宋" w:hAnsi="仿宋" w:eastAsia="仿宋" w:cs="宋体"/>
                <w:sz w:val="24"/>
                <w:highlight w:val="none"/>
              </w:rPr>
            </w:pPr>
            <w:r>
              <w:rPr>
                <w:rFonts w:hint="eastAsia" w:ascii="仿宋" w:hAnsi="仿宋" w:eastAsia="仿宋" w:cs="宋体"/>
                <w:sz w:val="24"/>
                <w:highlight w:val="none"/>
              </w:rPr>
              <w:t>金额合计（小写）</w:t>
            </w:r>
          </w:p>
        </w:tc>
      </w:tr>
      <w:tr w14:paraId="70A9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176" w:type="dxa"/>
            <w:vAlign w:val="center"/>
          </w:tcPr>
          <w:p w14:paraId="63C79216">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1</w:t>
            </w:r>
          </w:p>
        </w:tc>
        <w:tc>
          <w:tcPr>
            <w:tcW w:w="2940" w:type="dxa"/>
            <w:vAlign w:val="center"/>
          </w:tcPr>
          <w:p w14:paraId="156D698A">
            <w:pPr>
              <w:spacing w:line="400" w:lineRule="exact"/>
              <w:jc w:val="center"/>
              <w:rPr>
                <w:rFonts w:ascii="仿宋" w:hAnsi="仿宋" w:eastAsia="仿宋" w:cs="宋体"/>
                <w:sz w:val="24"/>
                <w:highlight w:val="none"/>
              </w:rPr>
            </w:pPr>
            <w:r>
              <w:rPr>
                <w:rFonts w:hint="eastAsia" w:ascii="仿宋" w:hAnsi="仿宋" w:eastAsia="仿宋" w:cs="宋体"/>
                <w:b/>
                <w:sz w:val="24"/>
                <w:highlight w:val="none"/>
              </w:rPr>
              <w:t xml:space="preserve"> </w:t>
            </w:r>
          </w:p>
        </w:tc>
        <w:tc>
          <w:tcPr>
            <w:tcW w:w="2526" w:type="dxa"/>
            <w:vAlign w:val="center"/>
          </w:tcPr>
          <w:p w14:paraId="33904447">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1项</w:t>
            </w:r>
          </w:p>
        </w:tc>
        <w:tc>
          <w:tcPr>
            <w:tcW w:w="2670" w:type="dxa"/>
            <w:vAlign w:val="center"/>
          </w:tcPr>
          <w:p w14:paraId="337B5BE4">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 xml:space="preserve"> 元</w:t>
            </w:r>
          </w:p>
        </w:tc>
      </w:tr>
      <w:tr w14:paraId="6597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312" w:type="dxa"/>
            <w:gridSpan w:val="4"/>
            <w:vAlign w:val="center"/>
          </w:tcPr>
          <w:p w14:paraId="7350FD4D">
            <w:pPr>
              <w:spacing w:line="400" w:lineRule="exact"/>
              <w:rPr>
                <w:rFonts w:ascii="仿宋" w:hAnsi="仿宋" w:eastAsia="仿宋" w:cs="宋体"/>
                <w:sz w:val="24"/>
                <w:highlight w:val="none"/>
              </w:rPr>
            </w:pPr>
            <w:r>
              <w:rPr>
                <w:rFonts w:hint="eastAsia" w:ascii="仿宋" w:hAnsi="仿宋" w:eastAsia="仿宋" w:cs="宋体"/>
                <w:sz w:val="24"/>
                <w:highlight w:val="none"/>
              </w:rPr>
              <w:t>合同最高执行总价人民币：（小写）         元整      （大写）</w:t>
            </w:r>
          </w:p>
        </w:tc>
      </w:tr>
    </w:tbl>
    <w:p w14:paraId="32C1E4AA">
      <w:pPr>
        <w:tabs>
          <w:tab w:val="left" w:pos="1155"/>
        </w:tabs>
        <w:spacing w:line="400" w:lineRule="exact"/>
        <w:rPr>
          <w:rFonts w:ascii="仿宋" w:hAnsi="仿宋" w:eastAsia="仿宋" w:cs="宋体"/>
          <w:sz w:val="24"/>
          <w:highlight w:val="none"/>
        </w:rPr>
      </w:pPr>
      <w:r>
        <w:rPr>
          <w:rFonts w:hint="eastAsia" w:ascii="仿宋" w:hAnsi="仿宋" w:eastAsia="仿宋" w:cs="宋体"/>
          <w:sz w:val="24"/>
          <w:highlight w:val="none"/>
        </w:rPr>
        <w:t>（二）分项价格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82"/>
        <w:gridCol w:w="2780"/>
        <w:gridCol w:w="1120"/>
        <w:gridCol w:w="972"/>
        <w:gridCol w:w="1080"/>
        <w:gridCol w:w="1080"/>
      </w:tblGrid>
      <w:tr w14:paraId="5CB2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09407761">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序号</w:t>
            </w:r>
          </w:p>
        </w:tc>
        <w:tc>
          <w:tcPr>
            <w:tcW w:w="1582" w:type="dxa"/>
            <w:tcBorders>
              <w:top w:val="single" w:color="auto" w:sz="4" w:space="0"/>
              <w:left w:val="single" w:color="auto" w:sz="4" w:space="0"/>
              <w:bottom w:val="single" w:color="auto" w:sz="4" w:space="0"/>
              <w:right w:val="single" w:color="auto" w:sz="4" w:space="0"/>
            </w:tcBorders>
            <w:vAlign w:val="center"/>
          </w:tcPr>
          <w:p w14:paraId="1B29F36B">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服务内容</w:t>
            </w:r>
          </w:p>
        </w:tc>
        <w:tc>
          <w:tcPr>
            <w:tcW w:w="2780" w:type="dxa"/>
            <w:tcBorders>
              <w:top w:val="single" w:color="auto" w:sz="4" w:space="0"/>
              <w:left w:val="single" w:color="auto" w:sz="4" w:space="0"/>
              <w:bottom w:val="single" w:color="auto" w:sz="4" w:space="0"/>
              <w:right w:val="single" w:color="auto" w:sz="4" w:space="0"/>
            </w:tcBorders>
            <w:vAlign w:val="center"/>
          </w:tcPr>
          <w:p w14:paraId="6599FEF1">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服务范围</w:t>
            </w:r>
          </w:p>
        </w:tc>
        <w:tc>
          <w:tcPr>
            <w:tcW w:w="1120" w:type="dxa"/>
            <w:tcBorders>
              <w:top w:val="single" w:color="auto" w:sz="4" w:space="0"/>
              <w:left w:val="single" w:color="auto" w:sz="4" w:space="0"/>
              <w:bottom w:val="single" w:color="auto" w:sz="4" w:space="0"/>
              <w:right w:val="single" w:color="auto" w:sz="4" w:space="0"/>
            </w:tcBorders>
            <w:vAlign w:val="center"/>
          </w:tcPr>
          <w:p w14:paraId="44D9D4B6">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服务</w:t>
            </w:r>
          </w:p>
          <w:p w14:paraId="3469D59C">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次数</w:t>
            </w:r>
          </w:p>
        </w:tc>
        <w:tc>
          <w:tcPr>
            <w:tcW w:w="972" w:type="dxa"/>
            <w:tcBorders>
              <w:top w:val="single" w:color="auto" w:sz="4" w:space="0"/>
              <w:left w:val="single" w:color="auto" w:sz="4" w:space="0"/>
              <w:bottom w:val="single" w:color="auto" w:sz="4" w:space="0"/>
              <w:right w:val="single" w:color="auto" w:sz="4" w:space="0"/>
            </w:tcBorders>
            <w:vAlign w:val="center"/>
          </w:tcPr>
          <w:p w14:paraId="22DB5CB3">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服务</w:t>
            </w:r>
          </w:p>
          <w:p w14:paraId="6953B379">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时间</w:t>
            </w:r>
          </w:p>
        </w:tc>
        <w:tc>
          <w:tcPr>
            <w:tcW w:w="1080" w:type="dxa"/>
            <w:tcBorders>
              <w:top w:val="single" w:color="auto" w:sz="4" w:space="0"/>
              <w:left w:val="single" w:color="auto" w:sz="4" w:space="0"/>
              <w:bottom w:val="single" w:color="auto" w:sz="4" w:space="0"/>
              <w:right w:val="single" w:color="auto" w:sz="4" w:space="0"/>
            </w:tcBorders>
            <w:vAlign w:val="center"/>
          </w:tcPr>
          <w:p w14:paraId="2D8094AC">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单价</w:t>
            </w:r>
          </w:p>
        </w:tc>
        <w:tc>
          <w:tcPr>
            <w:tcW w:w="1080" w:type="dxa"/>
            <w:tcBorders>
              <w:top w:val="single" w:color="auto" w:sz="4" w:space="0"/>
              <w:left w:val="single" w:color="auto" w:sz="4" w:space="0"/>
              <w:bottom w:val="single" w:color="auto" w:sz="4" w:space="0"/>
              <w:right w:val="single" w:color="auto" w:sz="4" w:space="0"/>
            </w:tcBorders>
            <w:vAlign w:val="center"/>
          </w:tcPr>
          <w:p w14:paraId="4938F486">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合计</w:t>
            </w:r>
          </w:p>
        </w:tc>
      </w:tr>
      <w:tr w14:paraId="19AB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458D8CCC">
            <w:pPr>
              <w:spacing w:line="400" w:lineRule="exact"/>
              <w:jc w:val="center"/>
              <w:rPr>
                <w:rFonts w:ascii="仿宋" w:hAnsi="仿宋" w:eastAsia="仿宋" w:cs="宋体"/>
                <w:sz w:val="24"/>
                <w:highlight w:val="none"/>
              </w:rPr>
            </w:pPr>
          </w:p>
        </w:tc>
        <w:tc>
          <w:tcPr>
            <w:tcW w:w="1582" w:type="dxa"/>
            <w:tcBorders>
              <w:top w:val="single" w:color="auto" w:sz="4" w:space="0"/>
              <w:left w:val="single" w:color="auto" w:sz="4" w:space="0"/>
              <w:bottom w:val="single" w:color="auto" w:sz="4" w:space="0"/>
              <w:right w:val="single" w:color="auto" w:sz="4" w:space="0"/>
            </w:tcBorders>
            <w:vAlign w:val="center"/>
          </w:tcPr>
          <w:p w14:paraId="4ED9F20D">
            <w:pPr>
              <w:spacing w:line="400" w:lineRule="exact"/>
              <w:jc w:val="center"/>
              <w:rPr>
                <w:rFonts w:ascii="仿宋" w:hAnsi="仿宋" w:eastAsia="仿宋" w:cs="宋体"/>
                <w:sz w:val="24"/>
                <w:highlight w:val="none"/>
              </w:rPr>
            </w:pPr>
          </w:p>
        </w:tc>
        <w:tc>
          <w:tcPr>
            <w:tcW w:w="2780" w:type="dxa"/>
            <w:tcBorders>
              <w:top w:val="single" w:color="auto" w:sz="4" w:space="0"/>
              <w:left w:val="single" w:color="auto" w:sz="4" w:space="0"/>
              <w:bottom w:val="single" w:color="auto" w:sz="4" w:space="0"/>
              <w:right w:val="single" w:color="auto" w:sz="4" w:space="0"/>
            </w:tcBorders>
            <w:vAlign w:val="center"/>
          </w:tcPr>
          <w:p w14:paraId="1B9AC9A1">
            <w:pPr>
              <w:spacing w:line="400" w:lineRule="exact"/>
              <w:jc w:val="center"/>
              <w:rPr>
                <w:rFonts w:ascii="仿宋" w:hAnsi="仿宋" w:eastAsia="仿宋" w:cs="宋体"/>
                <w:sz w:val="24"/>
                <w:highlight w:val="none"/>
              </w:rPr>
            </w:pPr>
          </w:p>
        </w:tc>
        <w:tc>
          <w:tcPr>
            <w:tcW w:w="1120" w:type="dxa"/>
            <w:tcBorders>
              <w:top w:val="single" w:color="auto" w:sz="4" w:space="0"/>
              <w:left w:val="single" w:color="auto" w:sz="4" w:space="0"/>
              <w:bottom w:val="single" w:color="auto" w:sz="4" w:space="0"/>
              <w:right w:val="single" w:color="auto" w:sz="4" w:space="0"/>
            </w:tcBorders>
            <w:vAlign w:val="center"/>
          </w:tcPr>
          <w:p w14:paraId="6CEF452B">
            <w:pPr>
              <w:spacing w:line="400" w:lineRule="exact"/>
              <w:jc w:val="center"/>
              <w:rPr>
                <w:rFonts w:ascii="仿宋" w:hAnsi="仿宋" w:eastAsia="仿宋" w:cs="宋体"/>
                <w:sz w:val="24"/>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14:paraId="6F072C3C">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88DBEB3">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3F65F35B">
            <w:pPr>
              <w:spacing w:line="400" w:lineRule="exact"/>
              <w:jc w:val="center"/>
              <w:rPr>
                <w:rFonts w:ascii="仿宋" w:hAnsi="仿宋" w:eastAsia="仿宋" w:cs="宋体"/>
                <w:sz w:val="24"/>
                <w:highlight w:val="none"/>
              </w:rPr>
            </w:pPr>
          </w:p>
        </w:tc>
      </w:tr>
      <w:tr w14:paraId="0330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6E99C11D">
            <w:pPr>
              <w:spacing w:line="400" w:lineRule="exact"/>
              <w:jc w:val="center"/>
              <w:rPr>
                <w:rFonts w:ascii="仿宋" w:hAnsi="仿宋" w:eastAsia="仿宋" w:cs="宋体"/>
                <w:sz w:val="24"/>
                <w:highlight w:val="none"/>
              </w:rPr>
            </w:pPr>
          </w:p>
        </w:tc>
        <w:tc>
          <w:tcPr>
            <w:tcW w:w="1582" w:type="dxa"/>
            <w:tcBorders>
              <w:top w:val="single" w:color="auto" w:sz="4" w:space="0"/>
              <w:left w:val="single" w:color="auto" w:sz="4" w:space="0"/>
              <w:bottom w:val="single" w:color="auto" w:sz="4" w:space="0"/>
              <w:right w:val="single" w:color="auto" w:sz="4" w:space="0"/>
            </w:tcBorders>
            <w:vAlign w:val="center"/>
          </w:tcPr>
          <w:p w14:paraId="597E37C7">
            <w:pPr>
              <w:spacing w:line="400" w:lineRule="exact"/>
              <w:jc w:val="center"/>
              <w:rPr>
                <w:rFonts w:ascii="仿宋" w:hAnsi="仿宋" w:eastAsia="仿宋" w:cs="宋体"/>
                <w:sz w:val="24"/>
                <w:highlight w:val="none"/>
              </w:rPr>
            </w:pPr>
          </w:p>
        </w:tc>
        <w:tc>
          <w:tcPr>
            <w:tcW w:w="2780" w:type="dxa"/>
            <w:tcBorders>
              <w:top w:val="single" w:color="auto" w:sz="4" w:space="0"/>
              <w:left w:val="single" w:color="auto" w:sz="4" w:space="0"/>
              <w:bottom w:val="single" w:color="auto" w:sz="4" w:space="0"/>
              <w:right w:val="single" w:color="auto" w:sz="4" w:space="0"/>
            </w:tcBorders>
            <w:vAlign w:val="center"/>
          </w:tcPr>
          <w:p w14:paraId="44C7B43F">
            <w:pPr>
              <w:spacing w:line="400" w:lineRule="exact"/>
              <w:jc w:val="center"/>
              <w:rPr>
                <w:rFonts w:ascii="仿宋" w:hAnsi="仿宋" w:eastAsia="仿宋" w:cs="宋体"/>
                <w:sz w:val="24"/>
                <w:highlight w:val="none"/>
              </w:rPr>
            </w:pPr>
          </w:p>
        </w:tc>
        <w:tc>
          <w:tcPr>
            <w:tcW w:w="1120" w:type="dxa"/>
            <w:tcBorders>
              <w:top w:val="single" w:color="auto" w:sz="4" w:space="0"/>
              <w:left w:val="single" w:color="auto" w:sz="4" w:space="0"/>
              <w:bottom w:val="single" w:color="auto" w:sz="4" w:space="0"/>
              <w:right w:val="single" w:color="auto" w:sz="4" w:space="0"/>
            </w:tcBorders>
            <w:vAlign w:val="center"/>
          </w:tcPr>
          <w:p w14:paraId="1C924366">
            <w:pPr>
              <w:spacing w:line="400" w:lineRule="exact"/>
              <w:jc w:val="center"/>
              <w:rPr>
                <w:rFonts w:ascii="仿宋" w:hAnsi="仿宋" w:eastAsia="仿宋" w:cs="宋体"/>
                <w:sz w:val="24"/>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14:paraId="5D476028">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B166C96">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34BD4276">
            <w:pPr>
              <w:spacing w:line="400" w:lineRule="exact"/>
              <w:jc w:val="center"/>
              <w:rPr>
                <w:rFonts w:ascii="仿宋" w:hAnsi="仿宋" w:eastAsia="仿宋" w:cs="宋体"/>
                <w:sz w:val="24"/>
                <w:highlight w:val="none"/>
              </w:rPr>
            </w:pPr>
          </w:p>
        </w:tc>
      </w:tr>
      <w:tr w14:paraId="1225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48CCEA58">
            <w:pPr>
              <w:spacing w:line="400" w:lineRule="exact"/>
              <w:jc w:val="center"/>
              <w:rPr>
                <w:rFonts w:ascii="仿宋" w:hAnsi="仿宋" w:eastAsia="仿宋" w:cs="宋体"/>
                <w:sz w:val="24"/>
                <w:highlight w:val="none"/>
              </w:rPr>
            </w:pPr>
          </w:p>
        </w:tc>
        <w:tc>
          <w:tcPr>
            <w:tcW w:w="1582" w:type="dxa"/>
            <w:tcBorders>
              <w:top w:val="single" w:color="auto" w:sz="4" w:space="0"/>
              <w:left w:val="single" w:color="auto" w:sz="4" w:space="0"/>
              <w:bottom w:val="single" w:color="auto" w:sz="4" w:space="0"/>
              <w:right w:val="single" w:color="auto" w:sz="4" w:space="0"/>
            </w:tcBorders>
            <w:vAlign w:val="center"/>
          </w:tcPr>
          <w:p w14:paraId="3C124844">
            <w:pPr>
              <w:spacing w:line="400" w:lineRule="exact"/>
              <w:jc w:val="center"/>
              <w:rPr>
                <w:rFonts w:ascii="仿宋" w:hAnsi="仿宋" w:eastAsia="仿宋" w:cs="宋体"/>
                <w:sz w:val="24"/>
                <w:highlight w:val="none"/>
              </w:rPr>
            </w:pPr>
          </w:p>
        </w:tc>
        <w:tc>
          <w:tcPr>
            <w:tcW w:w="2780" w:type="dxa"/>
            <w:tcBorders>
              <w:top w:val="single" w:color="auto" w:sz="4" w:space="0"/>
              <w:left w:val="single" w:color="auto" w:sz="4" w:space="0"/>
              <w:bottom w:val="single" w:color="auto" w:sz="4" w:space="0"/>
              <w:right w:val="single" w:color="auto" w:sz="4" w:space="0"/>
            </w:tcBorders>
            <w:vAlign w:val="center"/>
          </w:tcPr>
          <w:p w14:paraId="034DB761">
            <w:pPr>
              <w:spacing w:line="400" w:lineRule="exact"/>
              <w:jc w:val="center"/>
              <w:rPr>
                <w:rFonts w:ascii="仿宋" w:hAnsi="仿宋" w:eastAsia="仿宋" w:cs="宋体"/>
                <w:sz w:val="24"/>
                <w:highlight w:val="none"/>
              </w:rPr>
            </w:pPr>
          </w:p>
        </w:tc>
        <w:tc>
          <w:tcPr>
            <w:tcW w:w="1120" w:type="dxa"/>
            <w:tcBorders>
              <w:top w:val="single" w:color="auto" w:sz="4" w:space="0"/>
              <w:left w:val="single" w:color="auto" w:sz="4" w:space="0"/>
              <w:bottom w:val="single" w:color="auto" w:sz="4" w:space="0"/>
              <w:right w:val="single" w:color="auto" w:sz="4" w:space="0"/>
            </w:tcBorders>
            <w:vAlign w:val="center"/>
          </w:tcPr>
          <w:p w14:paraId="3B800632">
            <w:pPr>
              <w:spacing w:line="400" w:lineRule="exact"/>
              <w:jc w:val="center"/>
              <w:rPr>
                <w:rFonts w:ascii="仿宋" w:hAnsi="仿宋" w:eastAsia="仿宋" w:cs="宋体"/>
                <w:sz w:val="24"/>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14:paraId="122D25C9">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0BF4773">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2D7F0A5">
            <w:pPr>
              <w:spacing w:line="400" w:lineRule="exact"/>
              <w:jc w:val="center"/>
              <w:rPr>
                <w:rFonts w:ascii="仿宋" w:hAnsi="仿宋" w:eastAsia="仿宋" w:cs="宋体"/>
                <w:sz w:val="24"/>
                <w:highlight w:val="none"/>
              </w:rPr>
            </w:pPr>
          </w:p>
        </w:tc>
      </w:tr>
      <w:tr w14:paraId="0DC0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2EEE9F05">
            <w:pPr>
              <w:spacing w:line="400" w:lineRule="exact"/>
              <w:jc w:val="center"/>
              <w:rPr>
                <w:rFonts w:ascii="仿宋" w:hAnsi="仿宋" w:eastAsia="仿宋" w:cs="宋体"/>
                <w:sz w:val="24"/>
                <w:highlight w:val="none"/>
              </w:rPr>
            </w:pPr>
          </w:p>
        </w:tc>
        <w:tc>
          <w:tcPr>
            <w:tcW w:w="1582" w:type="dxa"/>
            <w:tcBorders>
              <w:top w:val="single" w:color="auto" w:sz="4" w:space="0"/>
              <w:left w:val="single" w:color="auto" w:sz="4" w:space="0"/>
              <w:bottom w:val="single" w:color="auto" w:sz="4" w:space="0"/>
              <w:right w:val="single" w:color="auto" w:sz="4" w:space="0"/>
            </w:tcBorders>
            <w:vAlign w:val="center"/>
          </w:tcPr>
          <w:p w14:paraId="70B131C2">
            <w:pPr>
              <w:spacing w:line="400" w:lineRule="exact"/>
              <w:jc w:val="center"/>
              <w:rPr>
                <w:rFonts w:ascii="仿宋" w:hAnsi="仿宋" w:eastAsia="仿宋" w:cs="宋体"/>
                <w:sz w:val="24"/>
                <w:highlight w:val="none"/>
              </w:rPr>
            </w:pPr>
          </w:p>
        </w:tc>
        <w:tc>
          <w:tcPr>
            <w:tcW w:w="2780" w:type="dxa"/>
            <w:tcBorders>
              <w:top w:val="single" w:color="auto" w:sz="4" w:space="0"/>
              <w:left w:val="single" w:color="auto" w:sz="4" w:space="0"/>
              <w:bottom w:val="single" w:color="auto" w:sz="4" w:space="0"/>
              <w:right w:val="single" w:color="auto" w:sz="4" w:space="0"/>
            </w:tcBorders>
            <w:vAlign w:val="center"/>
          </w:tcPr>
          <w:p w14:paraId="2C7FD379">
            <w:pPr>
              <w:spacing w:line="400" w:lineRule="exact"/>
              <w:jc w:val="center"/>
              <w:rPr>
                <w:rFonts w:ascii="仿宋" w:hAnsi="仿宋" w:eastAsia="仿宋" w:cs="宋体"/>
                <w:sz w:val="24"/>
                <w:highlight w:val="none"/>
              </w:rPr>
            </w:pPr>
          </w:p>
        </w:tc>
        <w:tc>
          <w:tcPr>
            <w:tcW w:w="1120" w:type="dxa"/>
            <w:tcBorders>
              <w:top w:val="single" w:color="auto" w:sz="4" w:space="0"/>
              <w:left w:val="single" w:color="auto" w:sz="4" w:space="0"/>
              <w:bottom w:val="single" w:color="auto" w:sz="4" w:space="0"/>
              <w:right w:val="single" w:color="auto" w:sz="4" w:space="0"/>
            </w:tcBorders>
            <w:vAlign w:val="center"/>
          </w:tcPr>
          <w:p w14:paraId="7283155B">
            <w:pPr>
              <w:spacing w:line="400" w:lineRule="exact"/>
              <w:jc w:val="center"/>
              <w:rPr>
                <w:rFonts w:ascii="仿宋" w:hAnsi="仿宋" w:eastAsia="仿宋" w:cs="宋体"/>
                <w:sz w:val="24"/>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14:paraId="4E62F9F2">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52F229F">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9589810">
            <w:pPr>
              <w:spacing w:line="400" w:lineRule="exact"/>
              <w:jc w:val="center"/>
              <w:rPr>
                <w:rFonts w:ascii="仿宋" w:hAnsi="仿宋" w:eastAsia="仿宋" w:cs="宋体"/>
                <w:sz w:val="24"/>
                <w:highlight w:val="none"/>
              </w:rPr>
            </w:pPr>
          </w:p>
        </w:tc>
      </w:tr>
      <w:tr w14:paraId="1628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508240C4">
            <w:pPr>
              <w:spacing w:line="400" w:lineRule="exact"/>
              <w:jc w:val="center"/>
              <w:rPr>
                <w:rFonts w:ascii="仿宋" w:hAnsi="仿宋" w:eastAsia="仿宋" w:cs="宋体"/>
                <w:sz w:val="24"/>
                <w:highlight w:val="none"/>
              </w:rPr>
            </w:pPr>
          </w:p>
        </w:tc>
        <w:tc>
          <w:tcPr>
            <w:tcW w:w="1582" w:type="dxa"/>
            <w:tcBorders>
              <w:top w:val="single" w:color="auto" w:sz="4" w:space="0"/>
              <w:left w:val="single" w:color="auto" w:sz="4" w:space="0"/>
              <w:bottom w:val="single" w:color="auto" w:sz="4" w:space="0"/>
              <w:right w:val="single" w:color="auto" w:sz="4" w:space="0"/>
            </w:tcBorders>
            <w:vAlign w:val="center"/>
          </w:tcPr>
          <w:p w14:paraId="211659AE">
            <w:pPr>
              <w:spacing w:line="400" w:lineRule="exact"/>
              <w:jc w:val="center"/>
              <w:rPr>
                <w:rFonts w:ascii="仿宋" w:hAnsi="仿宋" w:eastAsia="仿宋" w:cs="宋体"/>
                <w:sz w:val="24"/>
                <w:highlight w:val="none"/>
              </w:rPr>
            </w:pPr>
          </w:p>
        </w:tc>
        <w:tc>
          <w:tcPr>
            <w:tcW w:w="2780" w:type="dxa"/>
            <w:tcBorders>
              <w:top w:val="single" w:color="auto" w:sz="4" w:space="0"/>
              <w:left w:val="single" w:color="auto" w:sz="4" w:space="0"/>
              <w:bottom w:val="single" w:color="auto" w:sz="4" w:space="0"/>
              <w:right w:val="single" w:color="auto" w:sz="4" w:space="0"/>
            </w:tcBorders>
            <w:vAlign w:val="center"/>
          </w:tcPr>
          <w:p w14:paraId="15332DED">
            <w:pPr>
              <w:spacing w:line="400" w:lineRule="exact"/>
              <w:jc w:val="center"/>
              <w:rPr>
                <w:rFonts w:ascii="仿宋" w:hAnsi="仿宋" w:eastAsia="仿宋" w:cs="宋体"/>
                <w:sz w:val="24"/>
                <w:highlight w:val="none"/>
              </w:rPr>
            </w:pPr>
          </w:p>
        </w:tc>
        <w:tc>
          <w:tcPr>
            <w:tcW w:w="1120" w:type="dxa"/>
            <w:tcBorders>
              <w:top w:val="single" w:color="auto" w:sz="4" w:space="0"/>
              <w:left w:val="single" w:color="auto" w:sz="4" w:space="0"/>
              <w:bottom w:val="single" w:color="auto" w:sz="4" w:space="0"/>
              <w:right w:val="single" w:color="auto" w:sz="4" w:space="0"/>
            </w:tcBorders>
            <w:vAlign w:val="center"/>
          </w:tcPr>
          <w:p w14:paraId="26F38E4F">
            <w:pPr>
              <w:spacing w:line="400" w:lineRule="exact"/>
              <w:jc w:val="center"/>
              <w:rPr>
                <w:rFonts w:ascii="仿宋" w:hAnsi="仿宋" w:eastAsia="仿宋" w:cs="宋体"/>
                <w:sz w:val="24"/>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14:paraId="3DCFCEE5">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2B4EFF13">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48964997">
            <w:pPr>
              <w:spacing w:line="400" w:lineRule="exact"/>
              <w:jc w:val="center"/>
              <w:rPr>
                <w:rFonts w:ascii="仿宋" w:hAnsi="仿宋" w:eastAsia="仿宋" w:cs="宋体"/>
                <w:sz w:val="24"/>
                <w:highlight w:val="none"/>
              </w:rPr>
            </w:pPr>
          </w:p>
        </w:tc>
      </w:tr>
      <w:tr w14:paraId="0DD8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14:paraId="67A3FB67">
            <w:pPr>
              <w:spacing w:line="400" w:lineRule="exact"/>
              <w:jc w:val="center"/>
              <w:rPr>
                <w:rFonts w:ascii="仿宋" w:hAnsi="仿宋" w:eastAsia="仿宋" w:cs="宋体"/>
                <w:sz w:val="24"/>
                <w:highlight w:val="none"/>
              </w:rPr>
            </w:pPr>
          </w:p>
        </w:tc>
        <w:tc>
          <w:tcPr>
            <w:tcW w:w="1582" w:type="dxa"/>
            <w:tcBorders>
              <w:top w:val="single" w:color="auto" w:sz="4" w:space="0"/>
              <w:left w:val="single" w:color="auto" w:sz="4" w:space="0"/>
              <w:bottom w:val="single" w:color="auto" w:sz="4" w:space="0"/>
              <w:right w:val="single" w:color="auto" w:sz="4" w:space="0"/>
            </w:tcBorders>
            <w:vAlign w:val="center"/>
          </w:tcPr>
          <w:p w14:paraId="39B514F1">
            <w:pPr>
              <w:spacing w:line="400" w:lineRule="exact"/>
              <w:jc w:val="center"/>
              <w:rPr>
                <w:rFonts w:ascii="仿宋" w:hAnsi="仿宋" w:eastAsia="仿宋" w:cs="宋体"/>
                <w:sz w:val="24"/>
                <w:highlight w:val="none"/>
              </w:rPr>
            </w:pPr>
            <w:r>
              <w:rPr>
                <w:rFonts w:hint="eastAsia" w:ascii="仿宋" w:hAnsi="仿宋" w:eastAsia="仿宋" w:cs="宋体"/>
                <w:sz w:val="24"/>
                <w:highlight w:val="none"/>
              </w:rPr>
              <w:t>总合计</w:t>
            </w:r>
          </w:p>
        </w:tc>
        <w:tc>
          <w:tcPr>
            <w:tcW w:w="2780" w:type="dxa"/>
            <w:tcBorders>
              <w:top w:val="single" w:color="auto" w:sz="4" w:space="0"/>
              <w:left w:val="single" w:color="auto" w:sz="4" w:space="0"/>
              <w:bottom w:val="single" w:color="auto" w:sz="4" w:space="0"/>
              <w:right w:val="single" w:color="auto" w:sz="4" w:space="0"/>
            </w:tcBorders>
            <w:vAlign w:val="center"/>
          </w:tcPr>
          <w:p w14:paraId="4499C79C">
            <w:pPr>
              <w:spacing w:line="400" w:lineRule="exact"/>
              <w:jc w:val="center"/>
              <w:rPr>
                <w:rFonts w:ascii="仿宋" w:hAnsi="仿宋" w:eastAsia="仿宋" w:cs="宋体"/>
                <w:sz w:val="24"/>
                <w:highlight w:val="none"/>
              </w:rPr>
            </w:pPr>
          </w:p>
        </w:tc>
        <w:tc>
          <w:tcPr>
            <w:tcW w:w="1120" w:type="dxa"/>
            <w:tcBorders>
              <w:top w:val="single" w:color="auto" w:sz="4" w:space="0"/>
              <w:left w:val="single" w:color="auto" w:sz="4" w:space="0"/>
              <w:bottom w:val="single" w:color="auto" w:sz="4" w:space="0"/>
              <w:right w:val="single" w:color="auto" w:sz="4" w:space="0"/>
            </w:tcBorders>
            <w:vAlign w:val="center"/>
          </w:tcPr>
          <w:p w14:paraId="28496963">
            <w:pPr>
              <w:spacing w:line="400" w:lineRule="exact"/>
              <w:jc w:val="center"/>
              <w:rPr>
                <w:rFonts w:ascii="仿宋" w:hAnsi="仿宋" w:eastAsia="仿宋" w:cs="宋体"/>
                <w:sz w:val="24"/>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14:paraId="798F8B48">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62F3962">
            <w:pPr>
              <w:spacing w:line="400" w:lineRule="exact"/>
              <w:jc w:val="center"/>
              <w:rPr>
                <w:rFonts w:ascii="仿宋" w:hAnsi="仿宋" w:eastAsia="仿宋" w:cs="宋体"/>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BF5A2BE">
            <w:pPr>
              <w:spacing w:line="400" w:lineRule="exact"/>
              <w:jc w:val="center"/>
              <w:rPr>
                <w:rFonts w:ascii="仿宋" w:hAnsi="仿宋" w:eastAsia="仿宋" w:cs="宋体"/>
                <w:sz w:val="24"/>
                <w:highlight w:val="none"/>
              </w:rPr>
            </w:pPr>
          </w:p>
        </w:tc>
      </w:tr>
    </w:tbl>
    <w:p w14:paraId="332E8F9E">
      <w:pPr>
        <w:tabs>
          <w:tab w:val="left" w:pos="1155"/>
        </w:tabs>
        <w:spacing w:line="400" w:lineRule="exact"/>
        <w:rPr>
          <w:rFonts w:ascii="仿宋" w:hAnsi="仿宋" w:eastAsia="仿宋" w:cs="宋体"/>
          <w:b/>
          <w:sz w:val="24"/>
          <w:highlight w:val="none"/>
        </w:rPr>
      </w:pPr>
      <w:r>
        <w:rPr>
          <w:rFonts w:hint="eastAsia" w:ascii="仿宋" w:hAnsi="仿宋" w:eastAsia="仿宋" w:cs="宋体"/>
          <w:b/>
          <w:sz w:val="24"/>
          <w:highlight w:val="none"/>
        </w:rPr>
        <w:t>二、服务期</w:t>
      </w:r>
    </w:p>
    <w:p w14:paraId="73FD2BB3">
      <w:pPr>
        <w:spacing w:line="400" w:lineRule="exact"/>
        <w:ind w:firstLine="602"/>
        <w:contextualSpacing/>
        <w:rPr>
          <w:rFonts w:ascii="仿宋" w:hAnsi="仿宋" w:eastAsia="仿宋" w:cs="宋体"/>
          <w:sz w:val="24"/>
          <w:highlight w:val="none"/>
        </w:rPr>
      </w:pPr>
      <w:r>
        <w:rPr>
          <w:rFonts w:hint="eastAsia" w:ascii="仿宋" w:hAnsi="仿宋" w:eastAsia="仿宋" w:cs="宋体"/>
          <w:sz w:val="24"/>
          <w:highlight w:val="none"/>
        </w:rPr>
        <w:t>自合同签订之日起三年内。（根据项目情况无法明确具体时间的项目）</w:t>
      </w:r>
    </w:p>
    <w:p w14:paraId="402F917D">
      <w:pPr>
        <w:tabs>
          <w:tab w:val="left" w:pos="5971"/>
        </w:tabs>
        <w:kinsoku w:val="0"/>
        <w:spacing w:line="400" w:lineRule="exact"/>
        <w:rPr>
          <w:rFonts w:ascii="仿宋" w:hAnsi="仿宋" w:eastAsia="仿宋" w:cs="宋体"/>
          <w:b/>
          <w:sz w:val="24"/>
          <w:highlight w:val="none"/>
        </w:rPr>
      </w:pPr>
      <w:r>
        <w:rPr>
          <w:rFonts w:hint="eastAsia" w:ascii="仿宋" w:hAnsi="仿宋" w:eastAsia="仿宋" w:cs="宋体"/>
          <w:b/>
          <w:sz w:val="24"/>
          <w:highlight w:val="none"/>
        </w:rPr>
        <w:t>三、服务地点</w:t>
      </w:r>
    </w:p>
    <w:p w14:paraId="4BECAF21">
      <w:pPr>
        <w:tabs>
          <w:tab w:val="left" w:pos="5971"/>
        </w:tabs>
        <w:kinsoku w:val="0"/>
        <w:spacing w:line="400" w:lineRule="exact"/>
        <w:ind w:firstLine="602"/>
        <w:rPr>
          <w:rFonts w:ascii="仿宋" w:hAnsi="仿宋" w:eastAsia="仿宋" w:cs="宋体"/>
          <w:sz w:val="24"/>
          <w:highlight w:val="none"/>
        </w:rPr>
      </w:pPr>
      <w:r>
        <w:rPr>
          <w:rFonts w:hint="eastAsia" w:ascii="仿宋" w:hAnsi="仿宋" w:eastAsia="仿宋" w:cs="宋体"/>
          <w:sz w:val="24"/>
          <w:highlight w:val="none"/>
        </w:rPr>
        <w:t>服务地点：甲方指定地点。</w:t>
      </w:r>
    </w:p>
    <w:p w14:paraId="786F726C">
      <w:pPr>
        <w:tabs>
          <w:tab w:val="left" w:pos="480"/>
        </w:tabs>
        <w:spacing w:line="400" w:lineRule="exact"/>
        <w:rPr>
          <w:rFonts w:ascii="仿宋" w:hAnsi="仿宋" w:eastAsia="仿宋" w:cs="宋体"/>
          <w:b/>
          <w:sz w:val="24"/>
          <w:highlight w:val="none"/>
        </w:rPr>
      </w:pPr>
      <w:r>
        <w:rPr>
          <w:rFonts w:hint="eastAsia" w:ascii="仿宋" w:hAnsi="仿宋" w:eastAsia="仿宋" w:cs="宋体"/>
          <w:b/>
          <w:sz w:val="24"/>
          <w:highlight w:val="none"/>
        </w:rPr>
        <w:t>四、合同价款</w:t>
      </w:r>
    </w:p>
    <w:p w14:paraId="724307D8">
      <w:pPr>
        <w:spacing w:line="400" w:lineRule="exact"/>
        <w:ind w:firstLine="480" w:firstLineChars="200"/>
        <w:rPr>
          <w:rFonts w:ascii="仿宋" w:hAnsi="仿宋" w:eastAsia="仿宋" w:cs="宋体"/>
          <w:bCs/>
          <w:sz w:val="24"/>
          <w:highlight w:val="none"/>
        </w:rPr>
      </w:pPr>
      <w:r>
        <w:rPr>
          <w:rFonts w:hint="eastAsia" w:ascii="仿宋" w:hAnsi="仿宋" w:eastAsia="仿宋" w:cs="宋体"/>
          <w:bCs/>
          <w:sz w:val="24"/>
          <w:highlight w:val="none"/>
        </w:rPr>
        <w:t>（一）合同最高</w:t>
      </w:r>
      <w:r>
        <w:rPr>
          <w:rFonts w:hint="eastAsia" w:ascii="仿宋" w:hAnsi="仿宋" w:eastAsia="仿宋" w:cs="宋体"/>
          <w:sz w:val="24"/>
          <w:highlight w:val="none"/>
        </w:rPr>
        <w:t>执行总价</w:t>
      </w:r>
      <w:r>
        <w:rPr>
          <w:rFonts w:hint="eastAsia" w:ascii="仿宋" w:hAnsi="仿宋" w:eastAsia="仿宋" w:cs="宋体"/>
          <w:bCs/>
          <w:sz w:val="24"/>
          <w:highlight w:val="none"/>
        </w:rPr>
        <w:t>人民币：</w:t>
      </w:r>
      <w:r>
        <w:rPr>
          <w:rFonts w:hint="eastAsia" w:ascii="仿宋" w:hAnsi="仿宋" w:eastAsia="仿宋" w:cs="宋体"/>
          <w:sz w:val="24"/>
          <w:highlight w:val="none"/>
        </w:rPr>
        <w:t>（小写）</w:t>
      </w:r>
      <w:r>
        <w:rPr>
          <w:rFonts w:hint="eastAsia" w:ascii="仿宋" w:hAnsi="仿宋" w:eastAsia="仿宋" w:cs="宋体"/>
          <w:sz w:val="24"/>
          <w:highlight w:val="none"/>
          <w:u w:val="single"/>
        </w:rPr>
        <w:t xml:space="preserve">     </w:t>
      </w:r>
      <w:r>
        <w:rPr>
          <w:rFonts w:hint="eastAsia" w:ascii="仿宋" w:hAnsi="仿宋" w:eastAsia="仿宋" w:cs="宋体"/>
          <w:sz w:val="24"/>
          <w:highlight w:val="none"/>
        </w:rPr>
        <w:t>（大写）</w:t>
      </w:r>
      <w:r>
        <w:rPr>
          <w:rFonts w:hint="eastAsia" w:ascii="仿宋" w:hAnsi="仿宋" w:eastAsia="仿宋" w:cs="宋体"/>
          <w:sz w:val="24"/>
          <w:highlight w:val="none"/>
          <w:u w:val="single"/>
        </w:rPr>
        <w:t xml:space="preserve">            </w:t>
      </w:r>
      <w:r>
        <w:rPr>
          <w:rFonts w:hint="eastAsia" w:ascii="仿宋" w:hAnsi="仿宋" w:eastAsia="仿宋" w:cs="宋体"/>
          <w:sz w:val="24"/>
          <w:highlight w:val="none"/>
        </w:rPr>
        <w:t xml:space="preserve"> 。</w:t>
      </w:r>
    </w:p>
    <w:p w14:paraId="7D92598E">
      <w:pPr>
        <w:tabs>
          <w:tab w:val="left" w:pos="480"/>
        </w:tabs>
        <w:spacing w:line="400" w:lineRule="exact"/>
        <w:ind w:firstLine="480" w:firstLineChars="200"/>
        <w:rPr>
          <w:rFonts w:ascii="仿宋" w:hAnsi="仿宋" w:eastAsia="仿宋" w:cs="宋体"/>
          <w:bCs/>
          <w:sz w:val="24"/>
          <w:highlight w:val="none"/>
        </w:rPr>
      </w:pPr>
      <w:r>
        <w:rPr>
          <w:rFonts w:hint="eastAsia" w:ascii="仿宋" w:hAnsi="仿宋" w:eastAsia="仿宋" w:cs="宋体"/>
          <w:bCs/>
          <w:sz w:val="24"/>
          <w:highlight w:val="none"/>
        </w:rPr>
        <w:t>（二）合同单价包括：服务响应报价为提供磋商文件要求服务的全部费用，包括但不限于进行人员工资、备品备件等其他相关费用。</w:t>
      </w:r>
    </w:p>
    <w:p w14:paraId="0F50BA4F">
      <w:pPr>
        <w:tabs>
          <w:tab w:val="left" w:pos="480"/>
        </w:tabs>
        <w:spacing w:line="400" w:lineRule="exact"/>
        <w:ind w:firstLine="480" w:firstLineChars="200"/>
        <w:rPr>
          <w:rFonts w:ascii="仿宋" w:hAnsi="仿宋" w:eastAsia="仿宋" w:cs="宋体"/>
          <w:bCs/>
          <w:sz w:val="24"/>
          <w:highlight w:val="none"/>
        </w:rPr>
      </w:pPr>
      <w:r>
        <w:rPr>
          <w:rFonts w:hint="eastAsia" w:ascii="仿宋" w:hAnsi="仿宋" w:eastAsia="仿宋" w:cs="宋体"/>
          <w:bCs/>
          <w:sz w:val="24"/>
          <w:highlight w:val="none"/>
        </w:rPr>
        <w:t>（三）合同金额一次性包死，不受市场价格变化等因素的影响。</w:t>
      </w:r>
    </w:p>
    <w:p w14:paraId="33EF61FD">
      <w:pPr>
        <w:spacing w:line="400" w:lineRule="exact"/>
        <w:rPr>
          <w:rFonts w:ascii="仿宋" w:hAnsi="仿宋" w:eastAsia="仿宋" w:cs="宋体"/>
          <w:b/>
          <w:sz w:val="24"/>
          <w:highlight w:val="none"/>
        </w:rPr>
      </w:pPr>
      <w:r>
        <w:rPr>
          <w:rFonts w:hint="eastAsia" w:ascii="仿宋" w:hAnsi="仿宋" w:eastAsia="仿宋" w:cs="宋体"/>
          <w:b/>
          <w:sz w:val="24"/>
          <w:highlight w:val="none"/>
        </w:rPr>
        <w:t>五、款项结算：</w:t>
      </w:r>
    </w:p>
    <w:p w14:paraId="33467741">
      <w:pPr>
        <w:spacing w:line="360" w:lineRule="auto"/>
        <w:ind w:firstLine="240" w:firstLineChars="100"/>
        <w:rPr>
          <w:rFonts w:hint="eastAsia" w:ascii="仿宋" w:hAnsi="仿宋" w:eastAsia="仿宋" w:cs="宋体"/>
          <w:color w:val="auto"/>
          <w:sz w:val="24"/>
          <w:highlight w:val="none"/>
        </w:rPr>
      </w:pPr>
      <w:r>
        <w:rPr>
          <w:rFonts w:hint="eastAsia" w:ascii="仿宋" w:hAnsi="仿宋" w:eastAsia="仿宋" w:cs="宋体"/>
          <w:color w:val="auto"/>
          <w:sz w:val="24"/>
          <w:highlight w:val="none"/>
        </w:rPr>
        <w:t>（一）履约保证金的收取与退还：</w:t>
      </w:r>
    </w:p>
    <w:p w14:paraId="262F0620">
      <w:pPr>
        <w:spacing w:line="360" w:lineRule="auto"/>
        <w:ind w:firstLine="240" w:firstLineChars="100"/>
        <w:rPr>
          <w:rFonts w:ascii="仿宋" w:hAnsi="仿宋" w:eastAsia="仿宋" w:cs="宋体"/>
          <w:color w:val="auto"/>
          <w:sz w:val="24"/>
          <w:highlight w:val="none"/>
        </w:rPr>
      </w:pPr>
      <w:r>
        <w:rPr>
          <w:rFonts w:hint="eastAsia" w:ascii="仿宋" w:hAnsi="仿宋" w:eastAsia="仿宋" w:cs="宋体"/>
          <w:color w:val="auto"/>
          <w:sz w:val="24"/>
          <w:highlight w:val="none"/>
        </w:rPr>
        <w:t xml:space="preserve"> （</w:t>
      </w:r>
      <w:r>
        <w:rPr>
          <w:rFonts w:ascii="仿宋" w:hAnsi="仿宋" w:eastAsia="仿宋" w:cs="宋体"/>
          <w:color w:val="auto"/>
          <w:sz w:val="24"/>
          <w:highlight w:val="none"/>
        </w:rPr>
        <w:t>1</w:t>
      </w:r>
      <w:r>
        <w:rPr>
          <w:rFonts w:hint="eastAsia" w:ascii="仿宋" w:hAnsi="仿宋" w:eastAsia="仿宋" w:cs="宋体"/>
          <w:color w:val="auto"/>
          <w:sz w:val="24"/>
          <w:highlight w:val="none"/>
        </w:rPr>
        <w:t>）乙方应当在中标结果公示发布后五个工作日内将项目履约保证金（中标总额的</w:t>
      </w:r>
      <w:r>
        <w:rPr>
          <w:rFonts w:ascii="仿宋" w:hAnsi="仿宋" w:eastAsia="仿宋" w:cs="宋体"/>
          <w:color w:val="auto"/>
          <w:sz w:val="24"/>
          <w:highlight w:val="none"/>
        </w:rPr>
        <w:t>5%</w:t>
      </w:r>
      <w:r>
        <w:rPr>
          <w:rFonts w:hint="eastAsia" w:ascii="仿宋" w:hAnsi="仿宋" w:eastAsia="仿宋" w:cs="宋体"/>
          <w:color w:val="auto"/>
          <w:sz w:val="24"/>
          <w:highlight w:val="none"/>
        </w:rPr>
        <w:t>）转账至甲方基本户</w:t>
      </w:r>
      <w:r>
        <w:rPr>
          <w:rFonts w:ascii="仿宋" w:hAnsi="仿宋" w:eastAsia="仿宋" w:cs="宋体"/>
          <w:color w:val="auto"/>
          <w:sz w:val="24"/>
          <w:highlight w:val="none"/>
        </w:rPr>
        <w:t>,</w:t>
      </w:r>
      <w:r>
        <w:rPr>
          <w:rFonts w:hint="eastAsia" w:ascii="仿宋" w:hAnsi="仿宋" w:eastAsia="仿宋" w:cs="宋体"/>
          <w:color w:val="auto"/>
          <w:sz w:val="24"/>
          <w:highlight w:val="none"/>
        </w:rPr>
        <w:t>未按照招标文件要求按时足额缴纳履约保证金的，甲方将取消乙方中标资格（《中华人民共和国招标投标法实施条例 》第七十四条），甲方按照评审报告推荐的成交候选人名单排序，确定下一候选人为中标或者成交供应商（《中华人民共和国政府采购法实施条例》第四十九条），合同约定事宜完成，所有设备功能完好，无息返还履约保证金。</w:t>
      </w:r>
    </w:p>
    <w:p w14:paraId="5370CB44">
      <w:pPr>
        <w:spacing w:line="360" w:lineRule="auto"/>
        <w:ind w:firstLine="480" w:firstLineChars="200"/>
        <w:rPr>
          <w:rFonts w:ascii="仿宋" w:hAnsi="仿宋" w:eastAsia="仿宋" w:cs="宋体"/>
          <w:sz w:val="24"/>
          <w:highlight w:val="none"/>
        </w:rPr>
      </w:pPr>
      <w:r>
        <w:rPr>
          <w:rFonts w:hint="eastAsia" w:ascii="仿宋" w:hAnsi="仿宋" w:eastAsia="仿宋" w:cs="宋体"/>
          <w:sz w:val="24"/>
          <w:highlight w:val="none"/>
        </w:rPr>
        <w:t>（</w:t>
      </w:r>
      <w:r>
        <w:rPr>
          <w:rFonts w:ascii="仿宋" w:hAnsi="仿宋" w:eastAsia="仿宋" w:cs="宋体"/>
          <w:sz w:val="24"/>
          <w:highlight w:val="none"/>
        </w:rPr>
        <w:t>2</w:t>
      </w:r>
      <w:r>
        <w:rPr>
          <w:rFonts w:hint="eastAsia" w:ascii="仿宋" w:hAnsi="仿宋" w:eastAsia="仿宋" w:cs="宋体"/>
          <w:sz w:val="24"/>
          <w:highlight w:val="none"/>
        </w:rPr>
        <w:t>）甲方基本户：</w:t>
      </w:r>
    </w:p>
    <w:p w14:paraId="28D89300">
      <w:pPr>
        <w:spacing w:line="360" w:lineRule="auto"/>
        <w:ind w:firstLine="480" w:firstLineChars="200"/>
        <w:rPr>
          <w:rFonts w:ascii="仿宋" w:hAnsi="仿宋" w:eastAsia="仿宋" w:cs="宋体"/>
          <w:sz w:val="24"/>
          <w:highlight w:val="none"/>
        </w:rPr>
      </w:pPr>
      <w:r>
        <w:rPr>
          <w:rFonts w:hint="eastAsia" w:ascii="仿宋" w:hAnsi="仿宋" w:eastAsia="仿宋" w:cs="宋体"/>
          <w:sz w:val="24"/>
          <w:highlight w:val="none"/>
        </w:rPr>
        <w:t>户名：西安市红会医院</w:t>
      </w:r>
    </w:p>
    <w:p w14:paraId="3EED120C">
      <w:pPr>
        <w:spacing w:line="360" w:lineRule="auto"/>
        <w:ind w:firstLine="480" w:firstLineChars="200"/>
        <w:rPr>
          <w:rFonts w:ascii="仿宋" w:hAnsi="仿宋" w:eastAsia="仿宋" w:cs="宋体"/>
          <w:sz w:val="24"/>
          <w:highlight w:val="none"/>
        </w:rPr>
      </w:pPr>
      <w:r>
        <w:rPr>
          <w:rFonts w:hint="eastAsia" w:ascii="仿宋" w:hAnsi="仿宋" w:eastAsia="仿宋" w:cs="宋体"/>
          <w:sz w:val="24"/>
          <w:highlight w:val="none"/>
        </w:rPr>
        <w:t>账号：</w:t>
      </w:r>
      <w:r>
        <w:rPr>
          <w:rFonts w:ascii="仿宋" w:hAnsi="仿宋" w:eastAsia="仿宋" w:cs="宋体"/>
          <w:sz w:val="24"/>
          <w:highlight w:val="none"/>
        </w:rPr>
        <w:t>102407334632</w:t>
      </w:r>
    </w:p>
    <w:p w14:paraId="51947BA2">
      <w:pPr>
        <w:spacing w:line="360" w:lineRule="auto"/>
        <w:ind w:firstLine="480" w:firstLineChars="200"/>
        <w:rPr>
          <w:rFonts w:ascii="仿宋" w:hAnsi="仿宋" w:eastAsia="仿宋" w:cs="宋体"/>
          <w:sz w:val="24"/>
          <w:highlight w:val="none"/>
        </w:rPr>
      </w:pPr>
      <w:r>
        <w:rPr>
          <w:rFonts w:hint="eastAsia" w:ascii="仿宋" w:hAnsi="仿宋" w:eastAsia="仿宋" w:cs="宋体"/>
          <w:sz w:val="24"/>
          <w:highlight w:val="none"/>
        </w:rPr>
        <w:t>开户行：中行西安长安路支行</w:t>
      </w:r>
    </w:p>
    <w:p w14:paraId="05D030CF">
      <w:pPr>
        <w:spacing w:line="360" w:lineRule="auto"/>
        <w:ind w:firstLine="480" w:firstLineChars="200"/>
        <w:rPr>
          <w:rFonts w:ascii="仿宋" w:hAnsi="仿宋" w:eastAsia="仿宋" w:cs="宋体"/>
          <w:sz w:val="24"/>
          <w:highlight w:val="none"/>
        </w:rPr>
      </w:pPr>
      <w:r>
        <w:rPr>
          <w:rFonts w:hint="eastAsia" w:ascii="仿宋" w:hAnsi="仿宋" w:eastAsia="仿宋" w:cs="宋体"/>
          <w:sz w:val="24"/>
          <w:highlight w:val="none"/>
        </w:rPr>
        <w:t>转账请注明用途</w:t>
      </w:r>
    </w:p>
    <w:p w14:paraId="69CAFDEA">
      <w:pPr>
        <w:spacing w:line="360" w:lineRule="auto"/>
        <w:ind w:firstLine="240" w:firstLineChars="100"/>
        <w:rPr>
          <w:rFonts w:hint="default" w:ascii="仿宋" w:hAnsi="仿宋" w:eastAsia="仿宋" w:cs="宋体"/>
          <w:color w:val="auto"/>
          <w:sz w:val="24"/>
          <w:highlight w:val="none"/>
          <w:lang w:val="en-US" w:eastAsia="zh-CN"/>
        </w:rPr>
      </w:pPr>
      <w:r>
        <w:rPr>
          <w:rFonts w:hint="eastAsia" w:ascii="仿宋" w:hAnsi="仿宋" w:eastAsia="仿宋" w:cs="宋体"/>
          <w:color w:val="auto"/>
          <w:sz w:val="24"/>
          <w:highlight w:val="none"/>
        </w:rPr>
        <w:t>（二）</w:t>
      </w:r>
      <w:r>
        <w:rPr>
          <w:rFonts w:hint="eastAsia" w:ascii="仿宋" w:hAnsi="仿宋" w:eastAsia="仿宋" w:cs="宋体"/>
          <w:color w:val="auto"/>
          <w:sz w:val="24"/>
          <w:highlight w:val="none"/>
          <w:lang w:val="en-US" w:eastAsia="zh-CN"/>
        </w:rPr>
        <w:t>付款方式：</w:t>
      </w:r>
    </w:p>
    <w:p w14:paraId="1A7E4591">
      <w:pPr>
        <w:spacing w:line="400" w:lineRule="exact"/>
        <w:ind w:firstLine="480" w:firstLineChars="200"/>
        <w:rPr>
          <w:rFonts w:ascii="仿宋" w:hAnsi="仿宋" w:eastAsia="仿宋" w:cs="宋体"/>
          <w:bCs/>
          <w:kern w:val="36"/>
          <w:sz w:val="24"/>
          <w:highlight w:val="none"/>
        </w:rPr>
      </w:pPr>
      <w:r>
        <w:rPr>
          <w:rFonts w:hint="eastAsia" w:ascii="仿宋" w:hAnsi="仿宋" w:eastAsia="仿宋" w:cs="宋体"/>
          <w:sz w:val="24"/>
          <w:highlight w:val="none"/>
        </w:rPr>
        <w:t>（</w:t>
      </w:r>
      <w:r>
        <w:rPr>
          <w:rFonts w:hint="eastAsia" w:ascii="仿宋" w:hAnsi="仿宋" w:eastAsia="仿宋" w:cs="宋体"/>
          <w:sz w:val="24"/>
          <w:highlight w:val="none"/>
          <w:lang w:val="en-US" w:eastAsia="zh-CN"/>
        </w:rPr>
        <w:t>1</w:t>
      </w:r>
      <w:r>
        <w:rPr>
          <w:rFonts w:hint="eastAsia" w:ascii="仿宋" w:hAnsi="仿宋" w:eastAsia="仿宋" w:cs="宋体"/>
          <w:sz w:val="24"/>
          <w:highlight w:val="none"/>
        </w:rPr>
        <w:t>）</w:t>
      </w:r>
      <w:r>
        <w:rPr>
          <w:rFonts w:hint="eastAsia" w:ascii="仿宋" w:hAnsi="仿宋" w:eastAsia="仿宋" w:cs="宋体"/>
          <w:bCs/>
          <w:kern w:val="36"/>
          <w:sz w:val="24"/>
          <w:highlight w:val="none"/>
        </w:rPr>
        <w:t>支付方式：银行转账。</w:t>
      </w:r>
    </w:p>
    <w:p w14:paraId="55AE119C">
      <w:pPr>
        <w:spacing w:line="400" w:lineRule="exact"/>
        <w:ind w:firstLine="480" w:firstLineChars="200"/>
        <w:rPr>
          <w:rFonts w:ascii="仿宋" w:hAnsi="仿宋" w:eastAsia="仿宋" w:cs="宋体"/>
          <w:bCs/>
          <w:kern w:val="36"/>
          <w:sz w:val="24"/>
          <w:highlight w:val="none"/>
        </w:rPr>
      </w:pPr>
      <w:r>
        <w:rPr>
          <w:rFonts w:hint="eastAsia" w:ascii="仿宋" w:hAnsi="仿宋" w:eastAsia="仿宋" w:cs="宋体"/>
          <w:bCs/>
          <w:kern w:val="36"/>
          <w:sz w:val="24"/>
          <w:highlight w:val="none"/>
        </w:rPr>
        <w:t>乙方确认以下信息为收款信息：</w:t>
      </w:r>
    </w:p>
    <w:p w14:paraId="25F15360">
      <w:pPr>
        <w:spacing w:line="400" w:lineRule="exact"/>
        <w:ind w:firstLine="480" w:firstLineChars="200"/>
        <w:rPr>
          <w:rFonts w:ascii="仿宋" w:hAnsi="仿宋" w:eastAsia="仿宋" w:cs="宋体"/>
          <w:bCs/>
          <w:kern w:val="36"/>
          <w:sz w:val="24"/>
          <w:highlight w:val="none"/>
        </w:rPr>
      </w:pPr>
      <w:r>
        <w:rPr>
          <w:rFonts w:hint="eastAsia" w:ascii="仿宋" w:hAnsi="仿宋" w:eastAsia="仿宋" w:cs="宋体"/>
          <w:bCs/>
          <w:kern w:val="36"/>
          <w:sz w:val="24"/>
          <w:highlight w:val="none"/>
        </w:rPr>
        <w:t>开户名：</w:t>
      </w:r>
    </w:p>
    <w:p w14:paraId="149B3397">
      <w:pPr>
        <w:spacing w:line="400" w:lineRule="exact"/>
        <w:ind w:firstLine="480" w:firstLineChars="200"/>
        <w:rPr>
          <w:rFonts w:ascii="仿宋" w:hAnsi="仿宋" w:eastAsia="仿宋" w:cs="宋体"/>
          <w:bCs/>
          <w:kern w:val="36"/>
          <w:sz w:val="24"/>
          <w:highlight w:val="none"/>
        </w:rPr>
      </w:pPr>
      <w:r>
        <w:rPr>
          <w:rFonts w:hint="eastAsia" w:ascii="仿宋" w:hAnsi="仿宋" w:eastAsia="仿宋" w:cs="宋体"/>
          <w:bCs/>
          <w:kern w:val="36"/>
          <w:sz w:val="24"/>
          <w:highlight w:val="none"/>
        </w:rPr>
        <w:t>开户行：</w:t>
      </w:r>
    </w:p>
    <w:p w14:paraId="504EE862">
      <w:pPr>
        <w:spacing w:line="400" w:lineRule="exact"/>
        <w:ind w:firstLine="470" w:firstLineChars="196"/>
        <w:rPr>
          <w:rFonts w:ascii="仿宋" w:hAnsi="仿宋" w:eastAsia="仿宋" w:cs="宋体"/>
          <w:bCs/>
          <w:kern w:val="36"/>
          <w:sz w:val="24"/>
          <w:highlight w:val="none"/>
        </w:rPr>
      </w:pPr>
      <w:r>
        <w:rPr>
          <w:rFonts w:hint="eastAsia" w:ascii="仿宋" w:hAnsi="仿宋" w:eastAsia="仿宋" w:cs="宋体"/>
          <w:bCs/>
          <w:kern w:val="36"/>
          <w:sz w:val="24"/>
          <w:highlight w:val="none"/>
        </w:rPr>
        <w:t>账号：</w:t>
      </w:r>
    </w:p>
    <w:p w14:paraId="0FDDFAB1">
      <w:pPr>
        <w:tabs>
          <w:tab w:val="left" w:pos="1155"/>
        </w:tabs>
        <w:spacing w:line="400" w:lineRule="exact"/>
        <w:ind w:firstLine="480" w:firstLineChars="200"/>
        <w:rPr>
          <w:rFonts w:ascii="仿宋" w:hAnsi="仿宋" w:eastAsia="仿宋" w:cs="宋体"/>
          <w:b/>
          <w:sz w:val="24"/>
          <w:highlight w:val="none"/>
        </w:rPr>
      </w:pPr>
      <w:r>
        <w:rPr>
          <w:rFonts w:hint="eastAsia" w:ascii="仿宋" w:hAnsi="仿宋" w:eastAsia="仿宋" w:cs="宋体"/>
          <w:sz w:val="24"/>
          <w:highlight w:val="none"/>
        </w:rPr>
        <w:t>（</w:t>
      </w:r>
      <w:r>
        <w:rPr>
          <w:rFonts w:ascii="仿宋" w:hAnsi="仿宋" w:eastAsia="仿宋" w:cs="宋体"/>
          <w:sz w:val="24"/>
          <w:highlight w:val="none"/>
        </w:rPr>
        <w:t>2</w:t>
      </w:r>
      <w:r>
        <w:rPr>
          <w:rFonts w:hint="eastAsia" w:ascii="仿宋" w:hAnsi="仿宋" w:eastAsia="仿宋" w:cs="宋体"/>
          <w:sz w:val="24"/>
          <w:highlight w:val="none"/>
        </w:rPr>
        <w:t>）</w:t>
      </w:r>
      <w:r>
        <w:rPr>
          <w:rFonts w:hint="eastAsia" w:ascii="仿宋" w:hAnsi="仿宋" w:eastAsia="仿宋" w:cs="宋体"/>
          <w:bCs/>
          <w:kern w:val="36"/>
          <w:sz w:val="24"/>
          <w:highlight w:val="none"/>
        </w:rPr>
        <w:t>结算方式：分六期付款，每执行半年，</w:t>
      </w:r>
      <w:r>
        <w:rPr>
          <w:rFonts w:hint="eastAsia" w:ascii="仿宋" w:hAnsi="仿宋" w:eastAsia="仿宋" w:cs="宋体"/>
          <w:bCs/>
          <w:kern w:val="36"/>
          <w:sz w:val="24"/>
          <w:highlight w:val="none"/>
          <w:lang w:val="en-US" w:eastAsia="zh-CN"/>
        </w:rPr>
        <w:t>经甲方确认验收后，</w:t>
      </w:r>
      <w:r>
        <w:rPr>
          <w:rFonts w:hint="eastAsia" w:ascii="仿宋" w:hAnsi="仿宋" w:eastAsia="仿宋" w:cs="宋体"/>
          <w:bCs/>
          <w:kern w:val="36"/>
          <w:sz w:val="24"/>
          <w:highlight w:val="none"/>
        </w:rPr>
        <w:t>支付当年合同款的50%。</w:t>
      </w:r>
    </w:p>
    <w:p w14:paraId="2A6C03E5">
      <w:pPr>
        <w:spacing w:line="400" w:lineRule="exact"/>
        <w:rPr>
          <w:rFonts w:ascii="仿宋" w:hAnsi="仿宋" w:eastAsia="仿宋" w:cs="宋体"/>
          <w:b/>
          <w:sz w:val="24"/>
          <w:highlight w:val="none"/>
        </w:rPr>
      </w:pPr>
      <w:r>
        <w:rPr>
          <w:rFonts w:hint="eastAsia" w:ascii="仿宋" w:hAnsi="仿宋" w:eastAsia="仿宋" w:cs="宋体"/>
          <w:b/>
          <w:sz w:val="24"/>
          <w:highlight w:val="none"/>
        </w:rPr>
        <w:t>六、双方的权利和义务：</w:t>
      </w:r>
    </w:p>
    <w:p w14:paraId="77FB74D3">
      <w:pPr>
        <w:spacing w:line="400" w:lineRule="exact"/>
        <w:ind w:firstLine="470" w:firstLineChars="196"/>
        <w:rPr>
          <w:rFonts w:ascii="仿宋" w:hAnsi="仿宋" w:eastAsia="仿宋" w:cs="宋体"/>
          <w:bCs/>
          <w:sz w:val="24"/>
          <w:highlight w:val="none"/>
        </w:rPr>
      </w:pPr>
      <w:r>
        <w:rPr>
          <w:rFonts w:hint="eastAsia" w:ascii="仿宋" w:hAnsi="仿宋" w:eastAsia="仿宋" w:cs="宋体"/>
          <w:bCs/>
          <w:sz w:val="24"/>
          <w:highlight w:val="none"/>
        </w:rPr>
        <w:t>（一）甲方的权利和义务</w:t>
      </w:r>
    </w:p>
    <w:p w14:paraId="78C9C970">
      <w:pPr>
        <w:spacing w:line="400" w:lineRule="exact"/>
        <w:ind w:firstLine="470" w:firstLineChars="196"/>
        <w:rPr>
          <w:rFonts w:ascii="仿宋" w:hAnsi="仿宋" w:eastAsia="仿宋" w:cs="宋体"/>
          <w:bCs/>
          <w:sz w:val="24"/>
          <w:highlight w:val="none"/>
        </w:rPr>
      </w:pPr>
      <w:r>
        <w:rPr>
          <w:rFonts w:hint="eastAsia" w:ascii="仿宋" w:hAnsi="仿宋" w:eastAsia="仿宋" w:cs="宋体"/>
          <w:bCs/>
          <w:sz w:val="24"/>
          <w:highlight w:val="none"/>
        </w:rPr>
        <w:t>1、甲方保证提供给乙方的资料、信息内容合法， 不侵犯第三方的合法权益。如因甲方原因致使乙方遭受第三方追诉的，甲方在过错范围内承担由此给乙方造成的损失，并承担违约责任。</w:t>
      </w:r>
    </w:p>
    <w:p w14:paraId="186CC0BB">
      <w:pPr>
        <w:spacing w:line="400" w:lineRule="exact"/>
        <w:ind w:firstLine="470" w:firstLineChars="196"/>
        <w:rPr>
          <w:rFonts w:ascii="仿宋" w:hAnsi="仿宋" w:eastAsia="仿宋" w:cs="宋体"/>
          <w:bCs/>
          <w:kern w:val="36"/>
          <w:sz w:val="24"/>
          <w:highlight w:val="none"/>
        </w:rPr>
      </w:pPr>
      <w:r>
        <w:rPr>
          <w:rFonts w:hint="eastAsia" w:ascii="仿宋" w:hAnsi="仿宋" w:eastAsia="仿宋" w:cs="宋体"/>
          <w:bCs/>
          <w:sz w:val="24"/>
          <w:highlight w:val="none"/>
        </w:rPr>
        <w:t>2、</w:t>
      </w:r>
      <w:r>
        <w:rPr>
          <w:rFonts w:hint="eastAsia" w:ascii="仿宋" w:hAnsi="仿宋" w:eastAsia="仿宋" w:cs="宋体"/>
          <w:bCs/>
          <w:kern w:val="36"/>
          <w:sz w:val="24"/>
          <w:highlight w:val="none"/>
        </w:rPr>
        <w:t>由于乙方原因不能按合同约定履约，甲方有权扣留剩余款项，作为对甲方损失的赔偿</w:t>
      </w:r>
      <w:r>
        <w:rPr>
          <w:rFonts w:hint="eastAsia" w:ascii="仿宋" w:hAnsi="仿宋" w:eastAsia="仿宋" w:cs="宋体"/>
          <w:bCs/>
          <w:sz w:val="24"/>
          <w:highlight w:val="none"/>
        </w:rPr>
        <w:t>。剩余款项已付或不足以赔偿甲方损失的，由乙方另行支付。</w:t>
      </w:r>
    </w:p>
    <w:p w14:paraId="6F1CC6BD">
      <w:pPr>
        <w:spacing w:line="400" w:lineRule="exact"/>
        <w:ind w:firstLine="480" w:firstLineChars="200"/>
        <w:rPr>
          <w:rFonts w:ascii="仿宋" w:hAnsi="仿宋" w:eastAsia="仿宋" w:cs="宋体"/>
          <w:bCs/>
          <w:sz w:val="24"/>
          <w:highlight w:val="none"/>
        </w:rPr>
      </w:pPr>
      <w:r>
        <w:rPr>
          <w:rFonts w:hint="eastAsia" w:ascii="仿宋" w:hAnsi="仿宋" w:eastAsia="仿宋" w:cs="宋体"/>
          <w:bCs/>
          <w:sz w:val="24"/>
          <w:highlight w:val="none"/>
        </w:rPr>
        <w:t>（二）乙方的权利和义务</w:t>
      </w:r>
    </w:p>
    <w:p w14:paraId="3D0DA1A2">
      <w:pPr>
        <w:spacing w:line="400" w:lineRule="exact"/>
        <w:ind w:firstLine="470" w:firstLineChars="196"/>
        <w:rPr>
          <w:rFonts w:ascii="仿宋" w:hAnsi="仿宋" w:eastAsia="仿宋" w:cs="宋体"/>
          <w:bCs/>
          <w:sz w:val="24"/>
          <w:highlight w:val="none"/>
        </w:rPr>
      </w:pPr>
      <w:r>
        <w:rPr>
          <w:rFonts w:hint="eastAsia" w:ascii="仿宋" w:hAnsi="仿宋" w:eastAsia="仿宋" w:cs="宋体"/>
          <w:bCs/>
          <w:sz w:val="24"/>
          <w:highlight w:val="none"/>
        </w:rPr>
        <w:t>1、乙方保证在本项目服务期内，不侵犯第三方的合法权益。如因乙方原因致使甲方遭受第三方追诉的，乙方应承担由此给甲方造成的全部损失，并承担违约责任。</w:t>
      </w:r>
    </w:p>
    <w:p w14:paraId="2F3B0323">
      <w:pPr>
        <w:tabs>
          <w:tab w:val="left" w:pos="480"/>
        </w:tabs>
        <w:spacing w:line="400" w:lineRule="exact"/>
        <w:ind w:firstLine="480" w:firstLineChars="200"/>
        <w:rPr>
          <w:rFonts w:ascii="仿宋" w:hAnsi="仿宋" w:eastAsia="仿宋" w:cs="宋体"/>
          <w:bCs/>
          <w:sz w:val="24"/>
          <w:highlight w:val="none"/>
        </w:rPr>
      </w:pPr>
      <w:r>
        <w:rPr>
          <w:rFonts w:hint="eastAsia" w:ascii="仿宋" w:hAnsi="仿宋" w:eastAsia="仿宋" w:cs="宋体"/>
          <w:bCs/>
          <w:sz w:val="24"/>
          <w:highlight w:val="none"/>
        </w:rPr>
        <w:t>2、乙方按照本合同约定，在履行的过程中，不允许利用甲方提供的相关资料和工作条件，进行与本项目无关的工作。如因乙方原因，致使甲方遭受经济及法律追诉的，由乙方完全承担。</w:t>
      </w:r>
    </w:p>
    <w:p w14:paraId="2B44004D">
      <w:pPr>
        <w:spacing w:line="400" w:lineRule="exact"/>
        <w:contextualSpacing/>
        <w:rPr>
          <w:rFonts w:ascii="仿宋" w:hAnsi="仿宋" w:eastAsia="仿宋" w:cs="宋体"/>
          <w:b/>
          <w:sz w:val="24"/>
          <w:highlight w:val="none"/>
        </w:rPr>
      </w:pPr>
      <w:r>
        <w:rPr>
          <w:rFonts w:hint="eastAsia" w:ascii="仿宋" w:hAnsi="仿宋" w:eastAsia="仿宋" w:cs="宋体"/>
          <w:b/>
          <w:sz w:val="24"/>
          <w:highlight w:val="none"/>
        </w:rPr>
        <w:t>七、</w:t>
      </w:r>
      <w:r>
        <w:rPr>
          <w:rFonts w:hint="eastAsia" w:ascii="仿宋" w:hAnsi="仿宋" w:eastAsia="仿宋" w:cs="宋体"/>
          <w:b/>
          <w:sz w:val="24"/>
          <w:highlight w:val="none"/>
          <w:lang w:val="en-US" w:eastAsia="zh-CN"/>
        </w:rPr>
        <w:t>技术要求</w:t>
      </w:r>
      <w:r>
        <w:rPr>
          <w:rFonts w:hint="eastAsia" w:ascii="仿宋" w:hAnsi="仿宋" w:eastAsia="仿宋" w:cs="宋体"/>
          <w:b/>
          <w:sz w:val="24"/>
          <w:highlight w:val="none"/>
        </w:rPr>
        <w:t>：</w:t>
      </w:r>
    </w:p>
    <w:p w14:paraId="66844597">
      <w:pPr>
        <w:spacing w:line="400" w:lineRule="exact"/>
        <w:ind w:firstLine="470" w:firstLineChars="196"/>
        <w:rPr>
          <w:rFonts w:ascii="仿宋" w:hAnsi="仿宋" w:eastAsia="仿宋" w:cs="宋体"/>
          <w:bCs/>
          <w:sz w:val="24"/>
          <w:highlight w:val="none"/>
        </w:rPr>
      </w:pPr>
      <w:r>
        <w:rPr>
          <w:rFonts w:hint="eastAsia" w:ascii="仿宋" w:hAnsi="仿宋" w:eastAsia="仿宋" w:cs="宋体"/>
          <w:bCs/>
          <w:sz w:val="24"/>
          <w:highlight w:val="none"/>
          <w:lang w:eastAsia="zh-CN"/>
        </w:rPr>
        <w:t>1. 全保服务范围：设备整机（含球管、探测器等所有耗材及核心部件）质保，提供原厂全新配件更换；涵盖人工、日常维护、定期保养、故障检测修复、远程诊断，支持不限次紧急叫修，配件48小时内到货（不可抗力除外）。</w:t>
      </w:r>
      <w:r>
        <w:rPr>
          <w:rFonts w:hint="eastAsia" w:ascii="仿宋" w:hAnsi="仿宋" w:eastAsia="仿宋" w:cs="宋体"/>
          <w:bCs/>
          <w:sz w:val="24"/>
          <w:highlight w:val="none"/>
        </w:rPr>
        <w:t>设备使用现场进行维修，排除故障,完成维修。投标人所提供的服务机构必须具备客户服务电话，每年365天开通，全天24小时服务。</w:t>
      </w:r>
    </w:p>
    <w:p w14:paraId="766F480B">
      <w:pPr>
        <w:spacing w:line="400" w:lineRule="exact"/>
        <w:ind w:firstLine="470" w:firstLineChars="196"/>
        <w:rPr>
          <w:rFonts w:ascii="仿宋" w:hAnsi="仿宋" w:eastAsia="仿宋" w:cs="宋体"/>
          <w:bCs/>
          <w:sz w:val="24"/>
          <w:highlight w:val="none"/>
        </w:rPr>
      </w:pPr>
      <w:r>
        <w:rPr>
          <w:rFonts w:hint="eastAsia" w:ascii="仿宋" w:hAnsi="仿宋" w:eastAsia="仿宋" w:cs="宋体"/>
          <w:bCs/>
          <w:sz w:val="24"/>
          <w:highlight w:val="none"/>
        </w:rPr>
        <w:t>4、具有2名（含）以上医用影像类设备维修经验的维修工程师，且具备原设备厂家或其国内设立的分支机构培训证书。</w:t>
      </w:r>
    </w:p>
    <w:p w14:paraId="12B9646B">
      <w:pPr>
        <w:spacing w:line="400" w:lineRule="exact"/>
        <w:ind w:firstLine="470" w:firstLineChars="196"/>
        <w:rPr>
          <w:rFonts w:ascii="仿宋" w:hAnsi="仿宋" w:eastAsia="仿宋" w:cs="宋体"/>
          <w:bCs/>
          <w:sz w:val="24"/>
          <w:highlight w:val="none"/>
        </w:rPr>
      </w:pPr>
      <w:r>
        <w:rPr>
          <w:rFonts w:hint="eastAsia" w:ascii="仿宋" w:hAnsi="仿宋" w:eastAsia="仿宋" w:cs="宋体"/>
          <w:bCs/>
          <w:sz w:val="24"/>
          <w:highlight w:val="none"/>
        </w:rPr>
        <w:t>5、具有该设备专业维修工具，并提供工具清单及工具图片。</w:t>
      </w:r>
    </w:p>
    <w:p w14:paraId="08A5FB53">
      <w:pPr>
        <w:spacing w:line="400" w:lineRule="exact"/>
        <w:ind w:firstLine="470" w:firstLineChars="196"/>
        <w:rPr>
          <w:rFonts w:ascii="仿宋" w:hAnsi="仿宋" w:eastAsia="仿宋" w:cs="宋体"/>
          <w:bCs/>
          <w:sz w:val="24"/>
          <w:highlight w:val="none"/>
        </w:rPr>
      </w:pPr>
      <w:r>
        <w:rPr>
          <w:rFonts w:hint="eastAsia" w:ascii="仿宋" w:hAnsi="仿宋" w:eastAsia="仿宋" w:cs="宋体"/>
          <w:bCs/>
          <w:sz w:val="24"/>
          <w:highlight w:val="none"/>
        </w:rPr>
        <w:t>6、每次报修服务、季度服务、年度服务结束后应提交服务报告，包括维修工单、服务总结、设备运行时状况分析、设备存在问题及建议等。</w:t>
      </w:r>
    </w:p>
    <w:p w14:paraId="2E721179">
      <w:pPr>
        <w:tabs>
          <w:tab w:val="left" w:pos="0"/>
        </w:tabs>
        <w:spacing w:line="400" w:lineRule="exact"/>
        <w:rPr>
          <w:rFonts w:ascii="仿宋" w:hAnsi="仿宋" w:eastAsia="仿宋" w:cs="宋体"/>
          <w:b/>
          <w:sz w:val="24"/>
          <w:highlight w:val="none"/>
        </w:rPr>
      </w:pPr>
      <w:r>
        <w:rPr>
          <w:rFonts w:hint="eastAsia" w:ascii="仿宋" w:hAnsi="仿宋" w:eastAsia="仿宋" w:cs="宋体"/>
          <w:b/>
          <w:sz w:val="24"/>
          <w:highlight w:val="none"/>
        </w:rPr>
        <w:t>八、</w:t>
      </w:r>
      <w:r>
        <w:rPr>
          <w:rFonts w:hint="eastAsia" w:ascii="仿宋" w:hAnsi="仿宋" w:eastAsia="仿宋" w:cs="宋体"/>
          <w:b/>
          <w:sz w:val="24"/>
          <w:highlight w:val="none"/>
          <w:lang w:val="en-US" w:eastAsia="zh-CN"/>
        </w:rPr>
        <w:t>服务</w:t>
      </w:r>
      <w:r>
        <w:rPr>
          <w:rFonts w:hint="eastAsia" w:ascii="仿宋" w:hAnsi="仿宋" w:eastAsia="仿宋" w:cs="宋体"/>
          <w:b/>
          <w:sz w:val="24"/>
          <w:highlight w:val="none"/>
        </w:rPr>
        <w:t>要求</w:t>
      </w:r>
    </w:p>
    <w:p w14:paraId="6465E9C7">
      <w:pPr>
        <w:tabs>
          <w:tab w:val="left" w:pos="0"/>
          <w:tab w:val="center" w:pos="4153"/>
        </w:tabs>
        <w:spacing w:line="400" w:lineRule="exact"/>
        <w:rPr>
          <w:rFonts w:hint="eastAsia" w:ascii="仿宋" w:hAnsi="仿宋" w:eastAsia="仿宋" w:cs="宋体"/>
          <w:sz w:val="24"/>
          <w:highlight w:val="none"/>
          <w:lang w:eastAsia="zh-CN"/>
        </w:rPr>
      </w:pPr>
      <w:r>
        <w:rPr>
          <w:rFonts w:hint="eastAsia" w:ascii="仿宋" w:hAnsi="仿宋" w:eastAsia="仿宋" w:cs="宋体"/>
          <w:sz w:val="24"/>
          <w:highlight w:val="none"/>
          <w:lang w:eastAsia="zh-CN"/>
        </w:rPr>
        <w:t>1.  维修响应时效：接到报修1小时内响应并提供方案；需现场维修时，持证工程师3小时内抵达（含法定节假日）；无配件更换故障24小时内修复，涉及配件更换48小时内修复（不可抗力除外）。</w:t>
      </w:r>
    </w:p>
    <w:p w14:paraId="4AA64018">
      <w:pPr>
        <w:tabs>
          <w:tab w:val="left" w:pos="0"/>
          <w:tab w:val="center" w:pos="4153"/>
        </w:tabs>
        <w:spacing w:line="400" w:lineRule="exact"/>
        <w:rPr>
          <w:rFonts w:hint="eastAsia" w:ascii="仿宋" w:hAnsi="仿宋" w:eastAsia="仿宋" w:cs="宋体"/>
          <w:sz w:val="24"/>
          <w:highlight w:val="none"/>
          <w:lang w:eastAsia="zh-CN"/>
        </w:rPr>
      </w:pPr>
      <w:r>
        <w:rPr>
          <w:rFonts w:hint="eastAsia" w:ascii="仿宋" w:hAnsi="仿宋" w:eastAsia="仿宋" w:cs="宋体"/>
          <w:sz w:val="24"/>
          <w:highlight w:val="none"/>
          <w:lang w:eastAsia="zh-CN"/>
        </w:rPr>
        <w:t>2. 应用技术培训：免费提供不限次设备应用技术指导与应用培训；每年至少开展1次科室机修人员规范化技能培训，培训后提交培训报告，确保相关人员掌握基础维保技能。</w:t>
      </w:r>
    </w:p>
    <w:p w14:paraId="5478A10D">
      <w:pPr>
        <w:tabs>
          <w:tab w:val="left" w:pos="0"/>
          <w:tab w:val="center" w:pos="4153"/>
        </w:tabs>
        <w:spacing w:line="400" w:lineRule="exact"/>
        <w:rPr>
          <w:rFonts w:hint="eastAsia" w:ascii="仿宋" w:hAnsi="仿宋" w:eastAsia="仿宋" w:cs="宋体"/>
          <w:sz w:val="24"/>
          <w:highlight w:val="none"/>
          <w:lang w:eastAsia="zh-CN"/>
        </w:rPr>
      </w:pPr>
      <w:r>
        <w:rPr>
          <w:rFonts w:hint="eastAsia" w:ascii="仿宋" w:hAnsi="仿宋" w:eastAsia="仿宋" w:cs="宋体"/>
          <w:sz w:val="24"/>
          <w:highlight w:val="none"/>
          <w:lang w:eastAsia="zh-CN"/>
        </w:rPr>
        <w:t>3. 年度评估总结：年末出具详细维保评估总结报告，汇总全年故障次数、故障类别、更换配件的具体数量及对应费用；全面评估设备运行状况，结合设备使用年限及故障规律，提出针对性的优化使用及维护建议。</w:t>
      </w:r>
    </w:p>
    <w:p w14:paraId="3B9F7A12">
      <w:pPr>
        <w:tabs>
          <w:tab w:val="left" w:pos="0"/>
          <w:tab w:val="center" w:pos="4153"/>
        </w:tabs>
        <w:spacing w:line="400" w:lineRule="exact"/>
        <w:rPr>
          <w:rFonts w:ascii="仿宋" w:hAnsi="仿宋" w:eastAsia="仿宋" w:cs="宋体"/>
          <w:sz w:val="24"/>
          <w:highlight w:val="none"/>
        </w:rPr>
      </w:pPr>
      <w:r>
        <w:rPr>
          <w:rFonts w:hint="eastAsia" w:ascii="仿宋" w:hAnsi="仿宋" w:eastAsia="仿宋" w:cs="宋体"/>
          <w:b/>
          <w:sz w:val="24"/>
          <w:highlight w:val="none"/>
        </w:rPr>
        <w:t>九、违约责任</w:t>
      </w:r>
    </w:p>
    <w:p w14:paraId="3F644BB3">
      <w:pPr>
        <w:tabs>
          <w:tab w:val="left" w:pos="0"/>
          <w:tab w:val="center" w:pos="4153"/>
        </w:tabs>
        <w:spacing w:line="400" w:lineRule="exact"/>
        <w:ind w:firstLine="480" w:firstLineChars="200"/>
        <w:rPr>
          <w:rFonts w:ascii="仿宋" w:hAnsi="仿宋" w:eastAsia="仿宋" w:cs="宋体"/>
          <w:sz w:val="24"/>
          <w:highlight w:val="none"/>
        </w:rPr>
      </w:pPr>
      <w:r>
        <w:rPr>
          <w:rFonts w:hint="eastAsia" w:ascii="仿宋" w:hAnsi="仿宋" w:eastAsia="仿宋" w:cs="宋体"/>
          <w:sz w:val="24"/>
          <w:highlight w:val="none"/>
        </w:rPr>
        <w:t>（一）按《中华人民共和国民法典》中的相关条款执行。</w:t>
      </w:r>
    </w:p>
    <w:p w14:paraId="022BE2D1">
      <w:pPr>
        <w:tabs>
          <w:tab w:val="left" w:pos="0"/>
          <w:tab w:val="center" w:pos="4153"/>
        </w:tabs>
        <w:spacing w:line="400" w:lineRule="exact"/>
        <w:ind w:firstLine="480" w:firstLineChars="200"/>
        <w:rPr>
          <w:rFonts w:ascii="仿宋" w:hAnsi="仿宋" w:eastAsia="仿宋" w:cs="宋体"/>
          <w:sz w:val="24"/>
          <w:highlight w:val="none"/>
        </w:rPr>
      </w:pPr>
      <w:r>
        <w:rPr>
          <w:rFonts w:hint="eastAsia" w:ascii="仿宋" w:hAnsi="仿宋" w:eastAsia="仿宋" w:cs="宋体"/>
          <w:sz w:val="24"/>
          <w:highlight w:val="none"/>
        </w:rPr>
        <w:t>（二）乙方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并按照合同最高执行总价的30%支付违约金，同时按《政府采购法》有关处罚条款报监管机构进行相应的处罚。</w:t>
      </w:r>
    </w:p>
    <w:p w14:paraId="4A3CF413">
      <w:pPr>
        <w:tabs>
          <w:tab w:val="left" w:pos="0"/>
          <w:tab w:val="center" w:pos="4153"/>
        </w:tabs>
        <w:spacing w:line="400" w:lineRule="exact"/>
        <w:ind w:firstLine="602"/>
        <w:rPr>
          <w:rFonts w:ascii="仿宋" w:hAnsi="仿宋" w:eastAsia="仿宋" w:cs="宋体"/>
          <w:bCs/>
          <w:color w:val="auto"/>
          <w:kern w:val="36"/>
          <w:sz w:val="24"/>
          <w:highlight w:val="none"/>
        </w:rPr>
      </w:pPr>
      <w:r>
        <w:rPr>
          <w:rFonts w:hint="eastAsia" w:ascii="仿宋" w:hAnsi="仿宋" w:eastAsia="仿宋" w:cs="宋体"/>
          <w:color w:val="auto"/>
          <w:sz w:val="24"/>
          <w:highlight w:val="none"/>
        </w:rPr>
        <w:t>（三）服务期内，乙方每推迟或未提供服务1天，支付合同最高执行总价的3‰作为违约金。累计超过15天的，视为乙方根本违约，甲方有权单方解除合同（合同自书面解除通知送达乙方之日起解除），乙方应赔偿解除合同给甲方造成的全部损失（包括但不限于重新采购产生的费用、合同未履行导致项目不能按规划提供可能产生的服务费用），</w:t>
      </w:r>
      <w:r>
        <w:rPr>
          <w:rFonts w:hint="eastAsia" w:ascii="仿宋" w:hAnsi="仿宋" w:eastAsia="仿宋" w:cs="宋体"/>
          <w:bCs/>
          <w:color w:val="auto"/>
          <w:kern w:val="36"/>
          <w:sz w:val="24"/>
          <w:highlight w:val="none"/>
        </w:rPr>
        <w:t>乙方应按照合同最高执行总价的30%承担违约金，若违约金不足以弥补甲方损失的，由乙方另行支付。</w:t>
      </w:r>
    </w:p>
    <w:p w14:paraId="0E6BC8F0">
      <w:pPr>
        <w:spacing w:line="400" w:lineRule="exact"/>
        <w:ind w:firstLine="470" w:firstLineChars="196"/>
        <w:rPr>
          <w:rFonts w:eastAsia="仿宋"/>
          <w:highlight w:val="none"/>
        </w:rPr>
      </w:pPr>
      <w:r>
        <w:rPr>
          <w:rFonts w:hint="eastAsia" w:ascii="仿宋" w:hAnsi="仿宋" w:eastAsia="仿宋" w:cs="宋体"/>
          <w:bCs/>
          <w:kern w:val="36"/>
          <w:sz w:val="24"/>
          <w:highlight w:val="none"/>
        </w:rPr>
        <w:t xml:space="preserve">  (四）全年设备开机率≥97%（按365天计算），每低1天保修顺延7天；开机率低于85%视为乙方违约，甲方有权书面解除合同。</w:t>
      </w:r>
    </w:p>
    <w:p w14:paraId="5EE02CF7">
      <w:pPr>
        <w:tabs>
          <w:tab w:val="left" w:pos="0"/>
          <w:tab w:val="center" w:pos="4153"/>
        </w:tabs>
        <w:spacing w:line="400" w:lineRule="exact"/>
        <w:rPr>
          <w:rFonts w:ascii="仿宋" w:hAnsi="仿宋" w:eastAsia="仿宋" w:cs="宋体"/>
          <w:b/>
          <w:sz w:val="24"/>
          <w:highlight w:val="none"/>
        </w:rPr>
      </w:pPr>
      <w:r>
        <w:rPr>
          <w:rFonts w:hint="eastAsia" w:ascii="仿宋" w:hAnsi="仿宋" w:eastAsia="仿宋" w:cs="宋体"/>
          <w:b/>
          <w:sz w:val="24"/>
          <w:highlight w:val="none"/>
        </w:rPr>
        <w:t>十、合同争议的解决</w:t>
      </w:r>
    </w:p>
    <w:p w14:paraId="724263B0">
      <w:pPr>
        <w:pStyle w:val="2"/>
        <w:spacing w:line="400" w:lineRule="exact"/>
        <w:ind w:firstLine="434" w:firstLineChars="181"/>
        <w:rPr>
          <w:rFonts w:ascii="仿宋" w:hAnsi="仿宋" w:eastAsia="仿宋" w:cs="宋体"/>
          <w:bCs/>
          <w:szCs w:val="24"/>
          <w:highlight w:val="none"/>
        </w:rPr>
      </w:pPr>
      <w:r>
        <w:rPr>
          <w:rFonts w:hint="eastAsia" w:ascii="仿宋" w:hAnsi="仿宋" w:eastAsia="仿宋" w:cs="宋体"/>
          <w:bCs/>
          <w:szCs w:val="24"/>
          <w:highlight w:val="none"/>
        </w:rPr>
        <w:t>合同执行中发生争议的，当事人双方应协商解决，无法协商或协商达不成一致时，双方均有权向甲方住所地人民法院提请诉讼。</w:t>
      </w:r>
    </w:p>
    <w:p w14:paraId="1B93F06A">
      <w:pPr>
        <w:spacing w:line="400" w:lineRule="exact"/>
        <w:outlineLvl w:val="0"/>
        <w:rPr>
          <w:rFonts w:ascii="仿宋" w:hAnsi="仿宋" w:eastAsia="仿宋" w:cs="宋体"/>
          <w:b/>
          <w:sz w:val="24"/>
          <w:highlight w:val="none"/>
        </w:rPr>
      </w:pPr>
      <w:r>
        <w:rPr>
          <w:rFonts w:hint="eastAsia" w:ascii="仿宋" w:hAnsi="仿宋" w:eastAsia="仿宋" w:cs="宋体"/>
          <w:b/>
          <w:sz w:val="24"/>
          <w:highlight w:val="none"/>
        </w:rPr>
        <w:t>十一、合同生效</w:t>
      </w:r>
    </w:p>
    <w:p w14:paraId="298C4ABC">
      <w:pPr>
        <w:spacing w:line="400" w:lineRule="exact"/>
        <w:ind w:firstLine="480" w:firstLineChars="200"/>
        <w:outlineLvl w:val="0"/>
        <w:rPr>
          <w:rFonts w:ascii="仿宋" w:hAnsi="仿宋" w:eastAsia="仿宋" w:cs="宋体"/>
          <w:bCs/>
          <w:sz w:val="24"/>
          <w:highlight w:val="none"/>
        </w:rPr>
      </w:pPr>
      <w:r>
        <w:rPr>
          <w:rFonts w:hint="eastAsia" w:ascii="仿宋" w:hAnsi="仿宋" w:eastAsia="仿宋" w:cs="宋体"/>
          <w:bCs/>
          <w:sz w:val="24"/>
          <w:highlight w:val="none"/>
        </w:rPr>
        <w:t>合同一式八份，甲方五份、乙方三份，均具有同等法律效力。合同经甲方、乙方、鉴证方签字盖章后生效，合同执行完毕后，自动终止（合同的服务承诺则长期有效）。</w:t>
      </w:r>
    </w:p>
    <w:p w14:paraId="3C43CB16">
      <w:pPr>
        <w:spacing w:line="400" w:lineRule="exact"/>
        <w:outlineLvl w:val="0"/>
        <w:rPr>
          <w:rFonts w:ascii="仿宋" w:hAnsi="仿宋" w:eastAsia="仿宋" w:cs="宋体"/>
          <w:b/>
          <w:sz w:val="24"/>
          <w:highlight w:val="none"/>
        </w:rPr>
      </w:pPr>
      <w:r>
        <w:rPr>
          <w:rFonts w:hint="eastAsia" w:ascii="仿宋" w:hAnsi="仿宋" w:eastAsia="仿宋" w:cs="宋体"/>
          <w:b/>
          <w:sz w:val="24"/>
          <w:highlight w:val="none"/>
        </w:rPr>
        <w:t>十二、其他事项</w:t>
      </w:r>
    </w:p>
    <w:p w14:paraId="6F6181B4">
      <w:pPr>
        <w:tabs>
          <w:tab w:val="left" w:pos="480"/>
        </w:tabs>
        <w:spacing w:line="400" w:lineRule="exact"/>
        <w:ind w:firstLine="480" w:firstLineChars="200"/>
        <w:rPr>
          <w:rFonts w:ascii="仿宋" w:hAnsi="仿宋" w:eastAsia="仿宋" w:cs="宋体"/>
          <w:bCs/>
          <w:sz w:val="24"/>
          <w:highlight w:val="none"/>
        </w:rPr>
      </w:pPr>
      <w:r>
        <w:rPr>
          <w:rFonts w:hint="eastAsia" w:ascii="仿宋" w:hAnsi="仿宋" w:eastAsia="仿宋" w:cs="宋体"/>
          <w:bCs/>
          <w:sz w:val="24"/>
          <w:highlight w:val="none"/>
        </w:rPr>
        <w:t>（一）磋商文件、磋商响应文件、澄清表（函）、成交通知书、合同附件均成为合同不可分割的部分，与本合同具有同等法律效力。</w:t>
      </w:r>
    </w:p>
    <w:p w14:paraId="3105390B">
      <w:pPr>
        <w:tabs>
          <w:tab w:val="left" w:pos="480"/>
        </w:tabs>
        <w:spacing w:line="400" w:lineRule="exact"/>
        <w:ind w:firstLine="480" w:firstLineChars="200"/>
        <w:rPr>
          <w:rFonts w:ascii="仿宋" w:hAnsi="仿宋" w:eastAsia="仿宋" w:cs="宋体"/>
          <w:bCs/>
          <w:sz w:val="24"/>
          <w:highlight w:val="none"/>
        </w:rPr>
      </w:pPr>
      <w:r>
        <w:rPr>
          <w:rFonts w:hint="eastAsia" w:ascii="仿宋" w:hAnsi="仿宋" w:eastAsia="仿宋" w:cs="宋体"/>
          <w:bCs/>
          <w:sz w:val="24"/>
          <w:highlight w:val="none"/>
        </w:rPr>
        <w:t>（二）合同未尽事宜，由甲、乙双方协商签订补充协议，作为合同的补充，与原合同具有同等法律效力，补充协议与原协议不一致的，以补充协议为准。</w:t>
      </w:r>
    </w:p>
    <w:p w14:paraId="547ADC09">
      <w:pPr>
        <w:tabs>
          <w:tab w:val="left" w:pos="480"/>
        </w:tabs>
        <w:spacing w:line="400" w:lineRule="exact"/>
        <w:ind w:firstLine="480" w:firstLineChars="200"/>
        <w:rPr>
          <w:rFonts w:ascii="仿宋" w:hAnsi="仿宋" w:eastAsia="仿宋" w:cs="宋体"/>
          <w:bCs/>
          <w:sz w:val="24"/>
          <w:highlight w:val="none"/>
        </w:rPr>
      </w:pPr>
      <w:r>
        <w:rPr>
          <w:rFonts w:hint="eastAsia" w:ascii="仿宋" w:hAnsi="仿宋" w:eastAsia="仿宋" w:cs="宋体"/>
          <w:bCs/>
          <w:sz w:val="24"/>
          <w:highlight w:val="none"/>
        </w:rPr>
        <w:t>（以下无正文）</w:t>
      </w:r>
    </w:p>
    <w:p w14:paraId="76C8A166">
      <w:pPr>
        <w:tabs>
          <w:tab w:val="left" w:pos="480"/>
        </w:tabs>
        <w:spacing w:line="400" w:lineRule="exact"/>
        <w:rPr>
          <w:rFonts w:ascii="仿宋" w:hAnsi="仿宋" w:eastAsia="仿宋" w:cs="宋体"/>
          <w:sz w:val="24"/>
          <w:highlight w:val="none"/>
        </w:rPr>
      </w:pPr>
    </w:p>
    <w:p w14:paraId="467FF99B">
      <w:pPr>
        <w:tabs>
          <w:tab w:val="left" w:pos="480"/>
        </w:tabs>
        <w:spacing w:line="400" w:lineRule="exact"/>
        <w:rPr>
          <w:rFonts w:ascii="仿宋" w:hAnsi="仿宋" w:eastAsia="仿宋" w:cs="宋体"/>
          <w:sz w:val="24"/>
          <w:highlight w:val="none"/>
        </w:rPr>
      </w:pPr>
      <w:r>
        <w:rPr>
          <w:rFonts w:hint="eastAsia" w:ascii="仿宋" w:hAnsi="仿宋" w:eastAsia="仿宋" w:cs="宋体"/>
          <w:sz w:val="24"/>
          <w:highlight w:val="none"/>
        </w:rPr>
        <w:t>甲  方（单位公章）                    乙  方（单位公章）</w:t>
      </w:r>
    </w:p>
    <w:p w14:paraId="61E59ECA">
      <w:pPr>
        <w:tabs>
          <w:tab w:val="left" w:pos="480"/>
        </w:tabs>
        <w:spacing w:line="400" w:lineRule="exact"/>
        <w:ind w:left="4440" w:hanging="4440" w:hangingChars="1850"/>
        <w:rPr>
          <w:rFonts w:ascii="仿宋" w:hAnsi="仿宋" w:eastAsia="仿宋" w:cs="宋体"/>
          <w:sz w:val="24"/>
          <w:highlight w:val="none"/>
        </w:rPr>
      </w:pPr>
      <w:r>
        <w:rPr>
          <w:rFonts w:hint="eastAsia" w:ascii="仿宋" w:hAnsi="仿宋" w:eastAsia="仿宋" w:cs="宋体"/>
          <w:sz w:val="24"/>
          <w:highlight w:val="none"/>
        </w:rPr>
        <w:t>单位名称：                            单位名称：</w:t>
      </w:r>
    </w:p>
    <w:p w14:paraId="5899C08A">
      <w:pPr>
        <w:tabs>
          <w:tab w:val="left" w:pos="480"/>
        </w:tabs>
        <w:spacing w:line="400" w:lineRule="exact"/>
        <w:rPr>
          <w:rFonts w:ascii="仿宋" w:hAnsi="仿宋" w:eastAsia="仿宋" w:cs="宋体"/>
          <w:sz w:val="24"/>
          <w:highlight w:val="none"/>
        </w:rPr>
      </w:pPr>
      <w:r>
        <w:rPr>
          <w:rFonts w:hint="eastAsia" w:ascii="仿宋" w:hAnsi="仿宋" w:eastAsia="仿宋" w:cs="宋体"/>
          <w:sz w:val="24"/>
          <w:highlight w:val="none"/>
        </w:rPr>
        <w:t>地  址：                              地  址：</w:t>
      </w:r>
    </w:p>
    <w:p w14:paraId="5BE78821">
      <w:pPr>
        <w:tabs>
          <w:tab w:val="left" w:pos="480"/>
        </w:tabs>
        <w:spacing w:line="400" w:lineRule="exact"/>
        <w:rPr>
          <w:rFonts w:ascii="仿宋" w:hAnsi="仿宋" w:eastAsia="仿宋" w:cs="宋体"/>
          <w:sz w:val="24"/>
          <w:highlight w:val="none"/>
        </w:rPr>
      </w:pPr>
      <w:r>
        <w:rPr>
          <w:rFonts w:hint="eastAsia" w:ascii="仿宋" w:hAnsi="仿宋" w:eastAsia="仿宋" w:cs="宋体"/>
          <w:sz w:val="24"/>
          <w:highlight w:val="none"/>
        </w:rPr>
        <w:t>法定代表人：                          法定代表人：</w:t>
      </w:r>
    </w:p>
    <w:p w14:paraId="6472CA6E">
      <w:pPr>
        <w:tabs>
          <w:tab w:val="left" w:pos="480"/>
        </w:tabs>
        <w:spacing w:line="400" w:lineRule="exact"/>
        <w:rPr>
          <w:rFonts w:ascii="仿宋" w:hAnsi="仿宋" w:eastAsia="仿宋" w:cs="宋体"/>
          <w:sz w:val="24"/>
          <w:highlight w:val="none"/>
        </w:rPr>
      </w:pPr>
    </w:p>
    <w:p w14:paraId="085915E8">
      <w:pPr>
        <w:widowControl/>
        <w:autoSpaceDE w:val="0"/>
        <w:autoSpaceDN w:val="0"/>
        <w:snapToGrid w:val="0"/>
        <w:spacing w:line="400" w:lineRule="exact"/>
        <w:ind w:right="-154"/>
        <w:textAlignment w:val="bottom"/>
        <w:rPr>
          <w:rFonts w:ascii="仿宋" w:hAnsi="仿宋" w:eastAsia="仿宋" w:cs="宋体"/>
          <w:sz w:val="24"/>
          <w:highlight w:val="none"/>
        </w:rPr>
      </w:pPr>
      <w:r>
        <w:rPr>
          <w:rFonts w:hint="eastAsia" w:ascii="仿宋" w:hAnsi="仿宋" w:eastAsia="仿宋" w:cs="宋体"/>
          <w:sz w:val="24"/>
          <w:highlight w:val="none"/>
        </w:rPr>
        <w:t>联系电话：                            开户银行：</w:t>
      </w:r>
    </w:p>
    <w:p w14:paraId="0E8C503A">
      <w:pPr>
        <w:tabs>
          <w:tab w:val="left" w:pos="480"/>
        </w:tabs>
        <w:spacing w:line="400" w:lineRule="exact"/>
        <w:ind w:right="-720" w:rightChars="-343"/>
        <w:rPr>
          <w:rFonts w:ascii="仿宋" w:hAnsi="仿宋" w:eastAsia="仿宋" w:cs="宋体"/>
          <w:kern w:val="0"/>
          <w:sz w:val="24"/>
          <w:highlight w:val="none"/>
        </w:rPr>
      </w:pPr>
      <w:r>
        <w:rPr>
          <w:rFonts w:hint="eastAsia" w:ascii="仿宋" w:hAnsi="仿宋" w:eastAsia="仿宋" w:cs="宋体"/>
          <w:sz w:val="24"/>
          <w:highlight w:val="none"/>
        </w:rPr>
        <w:t xml:space="preserve">                                      帐    号：</w:t>
      </w:r>
    </w:p>
    <w:p w14:paraId="5FE39DCE">
      <w:pPr>
        <w:widowControl/>
        <w:autoSpaceDE w:val="0"/>
        <w:autoSpaceDN w:val="0"/>
        <w:snapToGrid w:val="0"/>
        <w:spacing w:line="400" w:lineRule="exact"/>
        <w:ind w:right="-154"/>
        <w:textAlignment w:val="bottom"/>
        <w:rPr>
          <w:rFonts w:ascii="仿宋" w:hAnsi="仿宋" w:eastAsia="仿宋" w:cs="宋体"/>
          <w:kern w:val="0"/>
          <w:sz w:val="24"/>
          <w:highlight w:val="none"/>
        </w:rPr>
      </w:pPr>
      <w:r>
        <w:rPr>
          <w:rFonts w:hint="eastAsia" w:ascii="仿宋" w:hAnsi="仿宋" w:eastAsia="仿宋" w:cs="宋体"/>
          <w:sz w:val="24"/>
          <w:highlight w:val="none"/>
        </w:rPr>
        <w:t xml:space="preserve">                                      联系电话：</w:t>
      </w:r>
    </w:p>
    <w:p w14:paraId="5464AAD9">
      <w:pPr>
        <w:tabs>
          <w:tab w:val="left" w:pos="480"/>
        </w:tabs>
        <w:spacing w:line="400" w:lineRule="exact"/>
        <w:rPr>
          <w:rFonts w:ascii="仿宋" w:hAnsi="仿宋" w:eastAsia="仿宋" w:cs="宋体"/>
          <w:sz w:val="24"/>
          <w:highlight w:val="none"/>
        </w:rPr>
      </w:pPr>
      <w:r>
        <w:rPr>
          <w:rFonts w:hint="eastAsia" w:ascii="仿宋" w:hAnsi="仿宋" w:eastAsia="仿宋" w:cs="宋体"/>
          <w:sz w:val="24"/>
          <w:highlight w:val="none"/>
        </w:rPr>
        <w:t>签订日期：   年  月  日               签订日期：    年  月   日</w:t>
      </w:r>
    </w:p>
    <w:p w14:paraId="05A0C745">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highlight w:val="none"/>
          <w:lang w:val="en-US" w:eastAsia="zh-Hans"/>
        </w:rPr>
      </w:pPr>
    </w:p>
    <w:p w14:paraId="47F5264B">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E56B4"/>
    <w:multiLevelType w:val="multilevel"/>
    <w:tmpl w:val="7DFE56B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6A3914"/>
    <w:rsid w:val="0F0251E6"/>
    <w:rsid w:val="146A3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60" w:lineRule="auto"/>
      <w:ind w:firstLine="200" w:firstLineChars="200"/>
    </w:pPr>
    <w:rPr>
      <w:rFonts w:eastAsia="宋体"/>
      <w:sz w:val="24"/>
      <w:szCs w:val="20"/>
    </w:rPr>
  </w:style>
  <w:style w:type="paragraph" w:styleId="3">
    <w:name w:val="Body Text"/>
    <w:basedOn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styleId="7">
    <w:name w:val="List Paragraph"/>
    <w:basedOn w:val="1"/>
    <w:autoRedefine/>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2026-03-02T01:55:00Z</dcterms:created>
  <dc:creator>Administrator</dc:creator>
  <cp:lastModifiedBy>Administrator</cp:lastModifiedBy>
  <dcterms:modified xsi:type="dcterms:W3CDTF">2026-03-02T01:56:19Z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9C2E17CB76254F668068C3D95177B5AE_11</vt:lpwstr>
  </property>
  <property fmtid="{D5CDD505-2E9C-101B-9397-08002B2CF9AE}" pid="4" name="KSOTemplateDocerSaveRecord">
    <vt:lpwstr>eyJoZGlkIjoiOGU3NjRlMjE0NmMwNzhlNDUxOGFiY2U2NWFlZDA2OTIiLCJ1c2VySWQiOiIzNDk5NjQzNjEifQ==</vt:lpwstr>
  </property>
</Properties>
</file>