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版本号：SCZB2026-CS-0571-00120260319001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2026年西安市档案馆档案音视频制作项目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SCZB2026-CS-0571-001</w:t>
      </w:r>
      <w:r>
        <w:br/>
      </w:r>
      <w:r>
        <w:br/>
      </w:r>
      <w:r>
        <w:br/>
      </w:r>
    </w:p>
    <w:p>
      <w:pPr>
        <w:pStyle w:val="null3"/>
        <w:jc w:val="center"/>
        <w:outlineLvl w:val="2"/>
      </w:pPr>
      <w:r>
        <w:rPr>
          <w:rFonts w:ascii="仿宋_GB2312" w:hAnsi="仿宋_GB2312" w:cs="仿宋_GB2312" w:eastAsia="仿宋_GB2312"/>
          <w:sz w:val="28"/>
          <w:b/>
        </w:rPr>
        <w:t>西安市档案馆（本级）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西安市档案馆（本级）</w:t>
      </w:r>
      <w:r>
        <w:rPr>
          <w:rFonts w:ascii="仿宋_GB2312" w:hAnsi="仿宋_GB2312" w:cs="仿宋_GB2312" w:eastAsia="仿宋_GB2312"/>
        </w:rPr>
        <w:t>委托，拟对</w:t>
      </w:r>
      <w:r>
        <w:rPr>
          <w:rFonts w:ascii="仿宋_GB2312" w:hAnsi="仿宋_GB2312" w:cs="仿宋_GB2312" w:eastAsia="仿宋_GB2312"/>
        </w:rPr>
        <w:t>2026年西安市档案馆档案音视频制作项目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SCZB2026-CS-0571-001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2026年西安市档案馆档案音视频制作项目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采购制作《档案里的西安故事》（第二季）宣传片1部共 4 集，每集时长分别为5-8分钟以内；《西安红色地标》宣传片1部共 16 集，每集时长为3分钟以内。在中省市官方新闻媒体平台发布播出等，具体内容详见采购文件。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采购包1（档案里的西安故事第二季）：属于专门面向小微企业采购。</w:t>
      </w:r>
    </w:p>
    <w:p>
      <w:pPr>
        <w:pStyle w:val="null3"/>
      </w:pPr>
      <w:r>
        <w:rPr>
          <w:rFonts w:ascii="仿宋_GB2312" w:hAnsi="仿宋_GB2312" w:cs="仿宋_GB2312" w:eastAsia="仿宋_GB2312"/>
        </w:rPr>
        <w:t>采购包2（西安红色地标系列微视频）：属于专门面向小微企业采购。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2、供应商基本资格条件承诺函：提供《西安市政府采购供应商基本资格条件承诺函》</w:t>
      </w:r>
    </w:p>
    <w:p>
      <w:pPr>
        <w:pStyle w:val="null3"/>
      </w:pPr>
      <w:r>
        <w:rPr>
          <w:rFonts w:ascii="仿宋_GB2312" w:hAnsi="仿宋_GB2312" w:cs="仿宋_GB2312" w:eastAsia="仿宋_GB2312"/>
        </w:rPr>
        <w:t>3、信用查询：供应商在递交投标文件截止时间前被“信用中国”网站（www.creditchina.gov.cn）和中国政府采购网（www.ccgp.gov.cn）上被列入失信被执行人、重大税收违法失信主体、政府采购严重违法失信行为信息记录名单的，不得参加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1、授权委托书：供应商参加本项目的合法授权人授权委托书；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2、供应商基本资格条件承诺函：提供《西安市政府采购供应商基本资格条件承诺函》</w:t>
      </w:r>
    </w:p>
    <w:p>
      <w:pPr>
        <w:pStyle w:val="null3"/>
      </w:pPr>
      <w:r>
        <w:rPr>
          <w:rFonts w:ascii="仿宋_GB2312" w:hAnsi="仿宋_GB2312" w:cs="仿宋_GB2312" w:eastAsia="仿宋_GB2312"/>
        </w:rPr>
        <w:t>3、信用查询：供应商在递交投标文件截止时间前被“信用中国”网站（www.creditchina.gov.cn）和中国政府采购网（www.ccgp.gov.cn）上被列入失信被执行人、重大税收违法失信主体、政府采购严重违法失信行为信息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西安市档案馆（本级）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西安市档案馆（本级）薛老师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029-86263856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按上述标准计算的代理服务费（每采购包）低于5000元的，代理服务费（每采购包）按5000元收取。 成交单位服务费交纳信息： 银行户名：陕西省采购招标有限责任公司 开户银行：中国光大银行西安友谊路支行 账 号：78560188000095264 联系人：财务部 联系电话：029-85256853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西安市档案馆（本级）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西安市档案馆（本级）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西安市档案馆（本级）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具体内容详见采购文件或商务及合同主要条款等内容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西安市档案馆（本级）</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采购制作《档案里的西安故事》（第二季）宣传片1部共 4 集，每集时长分别为5-8分钟以内；《西安红色地标》宣传片1部共 16 集，每集时长为3分钟以内。在中省市官方新闻媒体平台发布播出等，具体内容详见采购文件。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档案里的西安故事第二季</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w:t>
            </w:r>
          </w:p>
        </w:tc>
        <w:tc>
          <w:tcPr>
            <w:tcW w:type="dxa" w:w="831"/>
          </w:tcPr>
          <w:p>
            <w:pPr>
              <w:pStyle w:val="null3"/>
            </w:pPr>
            <w:r>
              <w:rPr>
                <w:rFonts w:ascii="仿宋_GB2312" w:hAnsi="仿宋_GB2312" w:cs="仿宋_GB2312" w:eastAsia="仿宋_GB2312"/>
              </w:rPr>
              <w:t>部</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西安红色地标系列微视频</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部</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标的名称：档案里的西安故事第二季</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《档案里的西安故事》（第二季）</w:t>
            </w:r>
          </w:p>
          <w:p>
            <w:pPr>
              <w:pStyle w:val="null3"/>
            </w:pPr>
            <w:r>
              <w:rPr>
                <w:rFonts w:ascii="仿宋_GB2312" w:hAnsi="仿宋_GB2312" w:cs="仿宋_GB2312" w:eastAsia="仿宋_GB2312"/>
              </w:rPr>
              <w:t>2026年我馆拟选取4个具有代表性的馆藏档案内容拍摄制作《档案里的西安故事》短视频，采取视频媒体与主流媒体融合的方式，不断提升档案工作的社会影响力，推动我馆档案事业创新发展。</w:t>
            </w:r>
          </w:p>
          <w:p>
            <w:pPr>
              <w:pStyle w:val="null3"/>
            </w:pPr>
            <w:r>
              <w:rPr>
                <w:rFonts w:ascii="仿宋_GB2312" w:hAnsi="仿宋_GB2312" w:cs="仿宋_GB2312" w:eastAsia="仿宋_GB2312"/>
              </w:rPr>
              <w:t>（</w:t>
            </w:r>
            <w:r>
              <w:rPr>
                <w:rFonts w:ascii="仿宋_GB2312" w:hAnsi="仿宋_GB2312" w:cs="仿宋_GB2312" w:eastAsia="仿宋_GB2312"/>
              </w:rPr>
              <w:t>1）《这片炽热的土地------交大西迁侧记》：以馆藏交大西迁档案为主要内容，反映省市党委带领全市人民，全力保障交大西迁所做出的无私奉献。</w:t>
            </w:r>
          </w:p>
          <w:p>
            <w:pPr>
              <w:pStyle w:val="null3"/>
            </w:pPr>
            <w:r>
              <w:rPr>
                <w:rFonts w:ascii="仿宋_GB2312" w:hAnsi="仿宋_GB2312" w:cs="仿宋_GB2312" w:eastAsia="仿宋_GB2312"/>
              </w:rPr>
              <w:t>（</w:t>
            </w:r>
            <w:r>
              <w:rPr>
                <w:rFonts w:ascii="仿宋_GB2312" w:hAnsi="仿宋_GB2312" w:cs="仿宋_GB2312" w:eastAsia="仿宋_GB2312"/>
              </w:rPr>
              <w:t>2）《血与火------西北革命军举行西北革命大祭文》：以馆藏西北革命大祭文为主要内容，反映推翻军阀统治，抗击残酷压迫的革命精神。</w:t>
            </w:r>
          </w:p>
          <w:p>
            <w:pPr>
              <w:pStyle w:val="null3"/>
            </w:pPr>
            <w:r>
              <w:rPr>
                <w:rFonts w:ascii="仿宋_GB2312" w:hAnsi="仿宋_GB2312" w:cs="仿宋_GB2312" w:eastAsia="仿宋_GB2312"/>
              </w:rPr>
              <w:t>（</w:t>
            </w:r>
            <w:r>
              <w:rPr>
                <w:rFonts w:ascii="仿宋_GB2312" w:hAnsi="仿宋_GB2312" w:cs="仿宋_GB2312" w:eastAsia="仿宋_GB2312"/>
              </w:rPr>
              <w:t>3）《云山万里血脉情------台湾光复纪念日》：以馆藏民国台湾光复致敬团来陕祭祖档案为主要内容，反映台湾光复纪念日的由来。</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丝路菊香</w:t>
            </w:r>
            <w:r>
              <w:rPr>
                <w:rFonts w:ascii="仿宋_GB2312" w:hAnsi="仿宋_GB2312" w:cs="仿宋_GB2312" w:eastAsia="仿宋_GB2312"/>
              </w:rPr>
              <w:t>------西安华峰面粉公司》：以馆藏民国西安华峰面粉公司档案为主要内容，反映西北民族工业在共产党的领导下成长发展的艰辛历程。</w:t>
            </w:r>
          </w:p>
          <w:p>
            <w:pPr>
              <w:pStyle w:val="null3"/>
            </w:pPr>
            <w:r>
              <w:rPr>
                <w:rFonts w:ascii="仿宋_GB2312" w:hAnsi="仿宋_GB2312" w:cs="仿宋_GB2312" w:eastAsia="仿宋_GB2312"/>
              </w:rPr>
              <w:t>集数</w:t>
            </w:r>
            <w:r>
              <w:rPr>
                <w:rFonts w:ascii="仿宋_GB2312" w:hAnsi="仿宋_GB2312" w:cs="仿宋_GB2312" w:eastAsia="仿宋_GB2312"/>
              </w:rPr>
              <w:t>：</w:t>
            </w:r>
            <w:r>
              <w:rPr>
                <w:rFonts w:ascii="仿宋_GB2312" w:hAnsi="仿宋_GB2312" w:cs="仿宋_GB2312" w:eastAsia="仿宋_GB2312"/>
              </w:rPr>
              <w:t>4集，每集5-8分钟以内（具体时间以实际发生为准）。</w:t>
            </w:r>
          </w:p>
          <w:p>
            <w:pPr>
              <w:pStyle w:val="null3"/>
            </w:pPr>
            <w:r>
              <w:rPr>
                <w:rFonts w:ascii="仿宋_GB2312" w:hAnsi="仿宋_GB2312" w:cs="仿宋_GB2312" w:eastAsia="仿宋_GB2312"/>
              </w:rPr>
              <w:t>其他</w:t>
            </w:r>
            <w:r>
              <w:rPr>
                <w:rFonts w:ascii="仿宋_GB2312" w:hAnsi="仿宋_GB2312" w:cs="仿宋_GB2312" w:eastAsia="仿宋_GB2312"/>
              </w:rPr>
              <w:t>要求：</w:t>
            </w:r>
          </w:p>
          <w:p>
            <w:pPr>
              <w:pStyle w:val="null3"/>
            </w:pPr>
            <w:r>
              <w:rPr>
                <w:rFonts w:ascii="仿宋_GB2312" w:hAnsi="仿宋_GB2312" w:cs="仿宋_GB2312" w:eastAsia="仿宋_GB2312"/>
              </w:rPr>
              <w:t>1、</w:t>
            </w:r>
            <w:r>
              <w:rPr>
                <w:rFonts w:ascii="仿宋_GB2312" w:hAnsi="仿宋_GB2312" w:cs="仿宋_GB2312" w:eastAsia="仿宋_GB2312"/>
              </w:rPr>
              <w:t>各供应商应具备</w:t>
            </w:r>
            <w:r>
              <w:rPr>
                <w:rFonts w:ascii="仿宋_GB2312" w:hAnsi="仿宋_GB2312" w:cs="仿宋_GB2312" w:eastAsia="仿宋_GB2312"/>
              </w:rPr>
              <w:t>制作的媒体产品曾在中省市官方新闻媒体平台发布；</w:t>
            </w:r>
          </w:p>
          <w:p>
            <w:pPr>
              <w:pStyle w:val="null3"/>
            </w:pPr>
            <w:r>
              <w:rPr>
                <w:rFonts w:ascii="仿宋_GB2312" w:hAnsi="仿宋_GB2312" w:cs="仿宋_GB2312" w:eastAsia="仿宋_GB2312"/>
              </w:rPr>
              <w:t>2、</w:t>
            </w:r>
            <w:r>
              <w:rPr>
                <w:rFonts w:ascii="仿宋_GB2312" w:hAnsi="仿宋_GB2312" w:cs="仿宋_GB2312" w:eastAsia="仿宋_GB2312"/>
              </w:rPr>
              <w:t>各供应商应具备</w:t>
            </w:r>
            <w:r>
              <w:rPr>
                <w:rFonts w:ascii="仿宋_GB2312" w:hAnsi="仿宋_GB2312" w:cs="仿宋_GB2312" w:eastAsia="仿宋_GB2312"/>
              </w:rPr>
              <w:t>制作团体或主创人员所制作的媒体产品曾获得中省市官方新闻、影视类奖项；</w:t>
            </w:r>
          </w:p>
          <w:p>
            <w:pPr>
              <w:pStyle w:val="null3"/>
            </w:pPr>
            <w:r>
              <w:rPr>
                <w:rFonts w:ascii="仿宋_GB2312" w:hAnsi="仿宋_GB2312" w:cs="仿宋_GB2312" w:eastAsia="仿宋_GB2312"/>
              </w:rPr>
              <w:t xml:space="preserve">3、应标公司具有制作档案类主题媒体产品的工作经验；    </w:t>
            </w:r>
          </w:p>
          <w:p>
            <w:pPr>
              <w:pStyle w:val="null3"/>
            </w:pPr>
            <w:r>
              <w:rPr>
                <w:rFonts w:ascii="仿宋_GB2312" w:hAnsi="仿宋_GB2312" w:cs="仿宋_GB2312" w:eastAsia="仿宋_GB2312"/>
              </w:rPr>
              <w:t>4、</w:t>
            </w:r>
            <w:r>
              <w:rPr>
                <w:rFonts w:ascii="仿宋_GB2312" w:hAnsi="仿宋_GB2312" w:cs="仿宋_GB2312" w:eastAsia="仿宋_GB2312"/>
              </w:rPr>
              <w:t>成交供应商</w:t>
            </w:r>
            <w:r>
              <w:rPr>
                <w:rFonts w:ascii="仿宋_GB2312" w:hAnsi="仿宋_GB2312" w:cs="仿宋_GB2312" w:eastAsia="仿宋_GB2312"/>
              </w:rPr>
              <w:t>需确保本次制作的相关视频作品在中省市官方新闻媒体平台发布播出。</w:t>
            </w:r>
          </w:p>
          <w:p>
            <w:pPr>
              <w:pStyle w:val="null3"/>
            </w:pPr>
            <w:r>
              <w:rPr>
                <w:rFonts w:ascii="仿宋_GB2312" w:hAnsi="仿宋_GB2312" w:cs="仿宋_GB2312" w:eastAsia="仿宋_GB2312"/>
              </w:rPr>
              <w:t>5、视频格式参数：MP4、16:9、1080P。</w:t>
            </w:r>
          </w:p>
          <w:p>
            <w:pPr>
              <w:pStyle w:val="null3"/>
            </w:pPr>
            <w:r>
              <w:rPr>
                <w:rFonts w:ascii="仿宋_GB2312" w:hAnsi="仿宋_GB2312" w:cs="仿宋_GB2312" w:eastAsia="仿宋_GB2312"/>
              </w:rPr>
              <w:t>6、各供应商参考西安市财局（市财函[2025]1429号）通知要求，关于宣传片制作参考标准：利用AI制作，不超过2000元/每分钟；电脑动画，不超过3000元/每分钟；拍摄短视频(3分钟以内)，不超过5000元/每分钟；拍摄长视频(3分钟以上)，不超过10000元/每分钟；复杂类:不超过12000元-24000元/每分钟。</w:t>
            </w:r>
          </w:p>
          <w:p>
            <w:pPr>
              <w:pStyle w:val="null3"/>
            </w:pPr>
            <w:r>
              <w:rPr>
                <w:rFonts w:ascii="仿宋_GB2312" w:hAnsi="仿宋_GB2312" w:cs="仿宋_GB2312" w:eastAsia="仿宋_GB2312"/>
                <w:sz w:val="21"/>
              </w:rPr>
              <w:t>单位量定额约束性标准：咨询市场行情并查阅相关政府采购合同后制定，通用宣传片制作项目按照该标准和市场价格编列项目预算，其中：工作交流片一般不超过</w:t>
            </w:r>
            <w:r>
              <w:rPr>
                <w:rFonts w:ascii="仿宋_GB2312" w:hAnsi="仿宋_GB2312" w:cs="仿宋_GB2312" w:eastAsia="仿宋_GB2312"/>
                <w:sz w:val="21"/>
              </w:rPr>
              <w:t>8分钟，公共媒体播放片一般不超过3分钟。</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标的名称：西安红色地标系列微视频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《西安红色地标》</w:t>
            </w:r>
          </w:p>
          <w:p>
            <w:pPr>
              <w:pStyle w:val="null3"/>
            </w:pPr>
            <w:r>
              <w:rPr>
                <w:rFonts w:ascii="仿宋_GB2312" w:hAnsi="仿宋_GB2312" w:cs="仿宋_GB2312" w:eastAsia="仿宋_GB2312"/>
              </w:rPr>
              <w:t>2026年是中国共产党成立105周年、红军长征胜利90周年，为深入挖掘开发馆藏档案中蕴含的爱国主义精神价值，我馆与西安市委党史研究室联合制作音视频短片《西安红色地标》，拟选取16个具有红色标志性地点，以红色档案资料为依据，依托地标性实景平台，讲好西安红色地标故事，积极发挥档案存史资政育人的作用。</w:t>
            </w:r>
          </w:p>
          <w:p>
            <w:pPr>
              <w:pStyle w:val="null3"/>
            </w:pPr>
            <w:r>
              <w:rPr>
                <w:rFonts w:ascii="仿宋_GB2312" w:hAnsi="仿宋_GB2312" w:cs="仿宋_GB2312" w:eastAsia="仿宋_GB2312"/>
              </w:rPr>
              <w:t>（</w:t>
            </w:r>
            <w:r>
              <w:rPr>
                <w:rFonts w:ascii="仿宋_GB2312" w:hAnsi="仿宋_GB2312" w:cs="仿宋_GB2312" w:eastAsia="仿宋_GB2312"/>
              </w:rPr>
              <w:t>1）革命时期地标（8个）：西安革命公园；葛牌镇区苏维埃政府纪念馆；关中书院；西安事变纪念馆；八路军西安办事处纪念馆；奇园茶社；西安中学（前身为原省立一中）；西安烈士陵园。</w:t>
            </w:r>
          </w:p>
          <w:p>
            <w:pPr>
              <w:pStyle w:val="null3"/>
            </w:pPr>
            <w:r>
              <w:rPr>
                <w:rFonts w:ascii="仿宋_GB2312" w:hAnsi="仿宋_GB2312" w:cs="仿宋_GB2312" w:eastAsia="仿宋_GB2312"/>
              </w:rPr>
              <w:t>（</w:t>
            </w:r>
            <w:r>
              <w:rPr>
                <w:rFonts w:ascii="仿宋_GB2312" w:hAnsi="仿宋_GB2312" w:cs="仿宋_GB2312" w:eastAsia="仿宋_GB2312"/>
              </w:rPr>
              <w:t>2）建设时期地标（4个）：西安市人民体育场；西安人民大厦；西安易俗社；兴庆公园。</w:t>
            </w:r>
          </w:p>
          <w:p>
            <w:pPr>
              <w:pStyle w:val="null3"/>
            </w:pPr>
            <w:r>
              <w:rPr>
                <w:rFonts w:ascii="仿宋_GB2312" w:hAnsi="仿宋_GB2312" w:cs="仿宋_GB2312" w:eastAsia="仿宋_GB2312"/>
              </w:rPr>
              <w:t>（</w:t>
            </w:r>
            <w:r>
              <w:rPr>
                <w:rFonts w:ascii="仿宋_GB2312" w:hAnsi="仿宋_GB2312" w:cs="仿宋_GB2312" w:eastAsia="仿宋_GB2312"/>
              </w:rPr>
              <w:t>3）改革开放时期地标（2个）：康复路批发市场；西安火车站。</w:t>
            </w:r>
          </w:p>
          <w:p>
            <w:pPr>
              <w:pStyle w:val="null3"/>
            </w:pPr>
            <w:r>
              <w:rPr>
                <w:rFonts w:ascii="仿宋_GB2312" w:hAnsi="仿宋_GB2312" w:cs="仿宋_GB2312" w:eastAsia="仿宋_GB2312"/>
              </w:rPr>
              <w:t>（</w:t>
            </w:r>
            <w:r>
              <w:rPr>
                <w:rFonts w:ascii="仿宋_GB2312" w:hAnsi="仿宋_GB2312" w:cs="仿宋_GB2312" w:eastAsia="仿宋_GB2312"/>
              </w:rPr>
              <w:t>4）新时代时期地标（2个）：中国西部科技创新港；西安奥林匹克体育中心。</w:t>
            </w:r>
          </w:p>
          <w:p>
            <w:pPr>
              <w:pStyle w:val="null3"/>
            </w:pPr>
            <w:r>
              <w:rPr>
                <w:rFonts w:ascii="仿宋_GB2312" w:hAnsi="仿宋_GB2312" w:cs="仿宋_GB2312" w:eastAsia="仿宋_GB2312"/>
              </w:rPr>
              <w:t>集数</w:t>
            </w:r>
            <w:r>
              <w:rPr>
                <w:rFonts w:ascii="仿宋_GB2312" w:hAnsi="仿宋_GB2312" w:cs="仿宋_GB2312" w:eastAsia="仿宋_GB2312"/>
              </w:rPr>
              <w:t>：</w:t>
            </w:r>
            <w:r>
              <w:rPr>
                <w:rFonts w:ascii="仿宋_GB2312" w:hAnsi="仿宋_GB2312" w:cs="仿宋_GB2312" w:eastAsia="仿宋_GB2312"/>
              </w:rPr>
              <w:t>16集，每集3分钟以内。</w:t>
            </w:r>
          </w:p>
          <w:p>
            <w:pPr>
              <w:pStyle w:val="null3"/>
            </w:pPr>
            <w:r>
              <w:rPr>
                <w:rFonts w:ascii="仿宋_GB2312" w:hAnsi="仿宋_GB2312" w:cs="仿宋_GB2312" w:eastAsia="仿宋_GB2312"/>
              </w:rPr>
              <w:t>其他</w:t>
            </w:r>
            <w:r>
              <w:rPr>
                <w:rFonts w:ascii="仿宋_GB2312" w:hAnsi="仿宋_GB2312" w:cs="仿宋_GB2312" w:eastAsia="仿宋_GB2312"/>
              </w:rPr>
              <w:t>要求：</w:t>
            </w:r>
          </w:p>
          <w:p>
            <w:pPr>
              <w:pStyle w:val="null3"/>
            </w:pPr>
            <w:r>
              <w:rPr>
                <w:rFonts w:ascii="仿宋_GB2312" w:hAnsi="仿宋_GB2312" w:cs="仿宋_GB2312" w:eastAsia="仿宋_GB2312"/>
              </w:rPr>
              <w:t>1、</w:t>
            </w:r>
            <w:r>
              <w:rPr>
                <w:rFonts w:ascii="仿宋_GB2312" w:hAnsi="仿宋_GB2312" w:cs="仿宋_GB2312" w:eastAsia="仿宋_GB2312"/>
              </w:rPr>
              <w:t>各供应商应具备</w:t>
            </w:r>
            <w:r>
              <w:rPr>
                <w:rFonts w:ascii="仿宋_GB2312" w:hAnsi="仿宋_GB2312" w:cs="仿宋_GB2312" w:eastAsia="仿宋_GB2312"/>
              </w:rPr>
              <w:t>制作的媒体产品曾在中省市官方新闻媒体平台发布；</w:t>
            </w:r>
          </w:p>
          <w:p>
            <w:pPr>
              <w:pStyle w:val="null3"/>
            </w:pPr>
            <w:r>
              <w:rPr>
                <w:rFonts w:ascii="仿宋_GB2312" w:hAnsi="仿宋_GB2312" w:cs="仿宋_GB2312" w:eastAsia="仿宋_GB2312"/>
              </w:rPr>
              <w:t>2、</w:t>
            </w:r>
            <w:r>
              <w:rPr>
                <w:rFonts w:ascii="仿宋_GB2312" w:hAnsi="仿宋_GB2312" w:cs="仿宋_GB2312" w:eastAsia="仿宋_GB2312"/>
              </w:rPr>
              <w:t>各供应商应具备</w:t>
            </w:r>
            <w:r>
              <w:rPr>
                <w:rFonts w:ascii="仿宋_GB2312" w:hAnsi="仿宋_GB2312" w:cs="仿宋_GB2312" w:eastAsia="仿宋_GB2312"/>
              </w:rPr>
              <w:t>制作团体或主创人员所制作的媒体产品曾获得中省市官方新闻、影视类奖项；</w:t>
            </w:r>
          </w:p>
          <w:p>
            <w:pPr>
              <w:pStyle w:val="null3"/>
            </w:pPr>
            <w:r>
              <w:rPr>
                <w:rFonts w:ascii="仿宋_GB2312" w:hAnsi="仿宋_GB2312" w:cs="仿宋_GB2312" w:eastAsia="仿宋_GB2312"/>
              </w:rPr>
              <w:t>3、应标公司具有制作档案类主题媒体产品的工作经验；</w:t>
            </w:r>
          </w:p>
          <w:p>
            <w:pPr>
              <w:pStyle w:val="null3"/>
            </w:pPr>
            <w:r>
              <w:rPr>
                <w:rFonts w:ascii="仿宋_GB2312" w:hAnsi="仿宋_GB2312" w:cs="仿宋_GB2312" w:eastAsia="仿宋_GB2312"/>
              </w:rPr>
              <w:t>4、</w:t>
            </w:r>
            <w:r>
              <w:rPr>
                <w:rFonts w:ascii="仿宋_GB2312" w:hAnsi="仿宋_GB2312" w:cs="仿宋_GB2312" w:eastAsia="仿宋_GB2312"/>
              </w:rPr>
              <w:t>成交供应商</w:t>
            </w:r>
            <w:r>
              <w:rPr>
                <w:rFonts w:ascii="仿宋_GB2312" w:hAnsi="仿宋_GB2312" w:cs="仿宋_GB2312" w:eastAsia="仿宋_GB2312"/>
              </w:rPr>
              <w:t>需确保本次制作的相关视频作品在中省市官方新闻媒体平台发布播出。</w:t>
            </w:r>
          </w:p>
          <w:p>
            <w:pPr>
              <w:pStyle w:val="null3"/>
            </w:pPr>
            <w:r>
              <w:rPr>
                <w:rFonts w:ascii="仿宋_GB2312" w:hAnsi="仿宋_GB2312" w:cs="仿宋_GB2312" w:eastAsia="仿宋_GB2312"/>
              </w:rPr>
              <w:t>5、视频格式参数：MP4、16:9、1080P。</w:t>
            </w:r>
          </w:p>
          <w:p>
            <w:pPr>
              <w:pStyle w:val="null3"/>
            </w:pPr>
            <w:r>
              <w:rPr>
                <w:rFonts w:ascii="仿宋_GB2312" w:hAnsi="仿宋_GB2312" w:cs="仿宋_GB2312" w:eastAsia="仿宋_GB2312"/>
              </w:rPr>
              <w:t>6、各供应商参考西安市财局（市财函[2025]1429号）通知要求，关于宣传片制作参考标准：利用AI制作，不超过2000元/每分钟；电脑动画，不超过3000元/每分钟；拍摄短视频(3分钟以内)，不超过5000元/每分钟；拍摄长视频(3分钟以上)，不超过10000元/每分钟；复杂类:不超过12000元-24000元/每分钟。</w:t>
            </w:r>
          </w:p>
          <w:p>
            <w:pPr>
              <w:pStyle w:val="null3"/>
              <w:jc w:val="both"/>
            </w:pPr>
            <w:r>
              <w:rPr>
                <w:rFonts w:ascii="仿宋_GB2312" w:hAnsi="仿宋_GB2312" w:cs="仿宋_GB2312" w:eastAsia="仿宋_GB2312"/>
                <w:sz w:val="21"/>
              </w:rPr>
              <w:t>单位量定额约束性标准：咨询市场行情并查阅相关政府采购合同后制定，通用宣传片制作项目按照该标准和市场价格编列项目预算，其中：工作交流片一般不超过</w:t>
            </w:r>
            <w:r>
              <w:rPr>
                <w:rFonts w:ascii="仿宋_GB2312" w:hAnsi="仿宋_GB2312" w:cs="仿宋_GB2312" w:eastAsia="仿宋_GB2312"/>
                <w:sz w:val="21"/>
              </w:rPr>
              <w:t>8分钟，公共媒体播放片一般不超过3分钟。</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自合同签订之日起至活动结束,但不超过2026年10月31日。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自合同签订之日起至活动结束,但不超过2026年10月31日。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具体内容详见采购文件或商务及合同主要条款等内容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具体内容详见采购文件或商务及合同主要条款等内容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合同签订且供应商开具增值税正式发票后，以银行转账形式向其支付本合同总费用的50%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在项目结束、供应商出具成果报告、第三方验收完成后，向供应商支付剩余50%项目尾款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合同签订且供应商开具增值税正式发票后，以银行转账形式向其支付本合同总费用的50%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在项目结束、供应商出具成果报告、第三方验收完成后，向供应商支付剩余50%项目尾款 ，达到付款条件起 10 日内，支付合同总金额的 50.00%。</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具体内容详见采购文件或商务及合同主要条款等内容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具体内容详见采购文件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CDATA[1.详见拟签订的合同文本，供应商提供策划方案细致完整、可行性高；按采购人的相关要求执行主题外宣活动方案策划、启动仪式组织、嘉宾/媒体邀请服务、活动宣传等工作，整体活动影响力突出、有较好的传播效果；供应商提供的宣传执行形式多样，包括多语种稿件发布、中省市媒体报道、海报（短视频）制作、重点网站首屏投放等（如其实施过程有变化经与采购人沟通后，按其要求实施采购任务）。 2.磋商总价包括：服务过程中包括供应地点到服务地点所包含的一切费用。合同总价不可变更，不受市场价变化的影响，不受实际数量变化的影响。 3.其他补充事宜 3.1、落实政府采购政策： 3.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3.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3.1.3《关于运用政府采购政策支持乡村产业振兴的通知》（财库〔2021〕19 号）、《关于印发<关于深入开展政府采购脱贫地区农副产品工作推进乡村产业振兴的实施意见>的通知》（财库〔2021〕20 号）。 3.1.4《国家互联网信息办公室 工业和信息化部 公安部 财政部 国家认证认可监督管理委员会关于调整网络安全专用产品安全管理有关事项的公告》（2023年第1号）。 3.1.5《陕西省财政厅关于加快推进我省中小企业政府采购信用融资工作的通知》（陕财办采〔2020〕15 号）、《陕西省财政厅关于印发<陕西省中小企业政府采购信用融资办法>的通知》（陕财办采〔2018〕23 号）。 3.1.6《关于扩大政府采购支持绿色建材促进建筑品质提升政策实施范围的通知》（财库〔2022〕35号）、《财政部办公厅 住房城乡建设部办公厅 工业和信息化部办公厅关于印发<政府采购支持绿色建材促进建筑品质提升政策项目实施指南>的通知》（财办库〔2023〕52号）。 3.1.7《国务院办公厅关于在政府采购中实施本国产品标准及相关政策的通知》（国办发〔2025〕34号）。 若享受以上政策优惠的企业，提供相应声明函或品目清单范围内产品的有效认证证书或相关证明。 4.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 5.异常低价审查 5.1评审中出现下列情形之一的，评标委员会应当启动异常低价投标审查程序： ①投标报价低于全部通过符合性审查供应商投标报价平均值50%的，即投标报价<全部通过符合性审查供应商投标报价平均值×50%； ②投标报价低于通过符合性审查的次低报价供应商投标报价50%的，即投标报价<通过符合性审查的次低报价供应商投标报价×50%； ③投标报价低于采购项目最高限价45%的，即投标报价<采购项目最高限价×45%； ④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 5、提供《西安市政府采购供应商基本资格条件承诺函》。</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 5、提供《西安市政府采购供应商基本资格条件承诺函》。</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首次磋商报价没有超过采购预算</w:t>
            </w:r>
          </w:p>
        </w:tc>
        <w:tc>
          <w:tcPr>
            <w:tcW w:type="dxa" w:w="3322"/>
          </w:tcPr>
          <w:p>
            <w:pPr>
              <w:pStyle w:val="null3"/>
            </w:pPr>
            <w:r>
              <w:rPr>
                <w:rFonts w:ascii="仿宋_GB2312" w:hAnsi="仿宋_GB2312" w:cs="仿宋_GB2312" w:eastAsia="仿宋_GB2312"/>
              </w:rPr>
              <w:t>首次磋商报价没有超过采购预算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供应商按磋商文件要求加盖单位公章</w:t>
            </w:r>
          </w:p>
        </w:tc>
        <w:tc>
          <w:tcPr>
            <w:tcW w:type="dxa" w:w="3322"/>
          </w:tcPr>
          <w:p>
            <w:pPr>
              <w:pStyle w:val="null3"/>
            </w:pPr>
            <w:r>
              <w:rPr>
                <w:rFonts w:ascii="仿宋_GB2312" w:hAnsi="仿宋_GB2312" w:cs="仿宋_GB2312" w:eastAsia="仿宋_GB2312"/>
              </w:rPr>
              <w:t>供应商按磋商文件要求加盖单位公章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磋商响应文件按磋商文件要求进行法定代表人或其授权代表签字</w:t>
            </w:r>
          </w:p>
        </w:tc>
        <w:tc>
          <w:tcPr>
            <w:tcW w:type="dxa" w:w="3322"/>
          </w:tcPr>
          <w:p>
            <w:pPr>
              <w:pStyle w:val="null3"/>
            </w:pPr>
            <w:r>
              <w:rPr>
                <w:rFonts w:ascii="仿宋_GB2312" w:hAnsi="仿宋_GB2312" w:cs="仿宋_GB2312" w:eastAsia="仿宋_GB2312"/>
              </w:rPr>
              <w:t>磋商响应文件按磋商文件要求进行法定代表人或其授权代表签字</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首次磋商报价没有超过采购预算</w:t>
            </w:r>
          </w:p>
        </w:tc>
        <w:tc>
          <w:tcPr>
            <w:tcW w:type="dxa" w:w="3322"/>
          </w:tcPr>
          <w:p>
            <w:pPr>
              <w:pStyle w:val="null3"/>
            </w:pPr>
            <w:r>
              <w:rPr>
                <w:rFonts w:ascii="仿宋_GB2312" w:hAnsi="仿宋_GB2312" w:cs="仿宋_GB2312" w:eastAsia="仿宋_GB2312"/>
              </w:rPr>
              <w:t>首次磋商报价没有超过采购预算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供应商按磋商文件要求加盖单位公章</w:t>
            </w:r>
          </w:p>
        </w:tc>
        <w:tc>
          <w:tcPr>
            <w:tcW w:type="dxa" w:w="3322"/>
          </w:tcPr>
          <w:p>
            <w:pPr>
              <w:pStyle w:val="null3"/>
            </w:pPr>
            <w:r>
              <w:rPr>
                <w:rFonts w:ascii="仿宋_GB2312" w:hAnsi="仿宋_GB2312" w:cs="仿宋_GB2312" w:eastAsia="仿宋_GB2312"/>
              </w:rPr>
              <w:t>供应商按磋商文件要求加盖单位公章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磋商响应文件按磋商文件要求进行法定代表人或其授权代表签字</w:t>
            </w:r>
          </w:p>
        </w:tc>
        <w:tc>
          <w:tcPr>
            <w:tcW w:type="dxa" w:w="3322"/>
          </w:tcPr>
          <w:p>
            <w:pPr>
              <w:pStyle w:val="null3"/>
            </w:pPr>
            <w:r>
              <w:rPr>
                <w:rFonts w:ascii="仿宋_GB2312" w:hAnsi="仿宋_GB2312" w:cs="仿宋_GB2312" w:eastAsia="仿宋_GB2312"/>
              </w:rPr>
              <w:t>磋商响应文件按磋商文件要求进行法定代表人或其授权代表签字</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一、评审内容供应商提出针对于本项目的整体服务计划方案，方案内容包含：①项目需求理解；②活动组织策划及实施方案；③宣传片制作方案；④活动宣传方案；⑤拍摄方案。 二、评审标准 1、每一项方案详细完整、实施性强、专门针对本项目，为本项目提供可实施方案且有具体支撑材料（包含不限于：基础配套摄像设备、人员等材料的证明文件）得6分； 2、每一项方案较详细完整、实施性一般、针对本项目得3分； 3、每一项方案完整，基本满足项目需求计1分； 未提供的不计分。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一、评审内容供应商及时或提前满足采购人时间进度要求并且为采购人预留充分的内部审核时间 二、评审标准 1、时间安排科学合理，利用率高。时效性强得5分； 2、时间安排较合理，利用率较高。时效性较强得3分； 3、时间安排一般，利用率极低。时效性滞后得1分。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一、评审内容供应商提出针对于本项目的应急方案，方案内容包含：①突发事件情况分析；②应急响应时间及应对措施。 二、评审标准 1、每一项应急方案详细完整、实施性强、专门针对本项目，为本项目提供可实施方案得5分； 2、每一项应急方案较详细完整、实施性一般、针对本项目得3分； 3、每一项应急方案完整，基本满足项目需求计1分； 4、未提供的不计分。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针对本项目投入的组织机构人员（包括导演、摄影师、动画制作团队、后期及特效制作团队等），组织机构设置合理，管理人员及技术人员配备数量充足、人员职责明确、分工清晰合理、相关项目实施经验丰富。 1、人员配置合理，数量充足，人员职责、分工明确，相关项目实施经验充足，满足本项目实际需求得15分； 2、人员配置一般，数量充足，人员职责、分工明确，有相关项目实施经验，基本满足本项目实际需求得10分； 3、人员配置较差，数量不足，人员职责、分工不明确，相关项目实施经验不足，不满足本项目实际需求得3分；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一、评审内容供应商提出针对于本项目的服务承诺； 二、评审标准: 1、针对本项目服务要求能够充分保证达到项目实施目的，有详细的服务承诺，且承诺内容具有可行性得5分； 2、本项目服务要求能较充分且可达到项目实施目的，有服务承诺，且承诺内容具有可行性得3分； 3、本项目服务要求基本达到项目实施目的，承诺内容可行性一般得1分； 4、未提供的不计分。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一、评审内容供应商提出针对本项目提供完善的服务质量保障措施，服务内容包含：①组织保障措施；②设备保障措施。 二、评审标准 1、每一项服务方案详细完整、实施性强、专门针对本项目，为本项目提供可实施方案得5分； 2、每一项服务方案较详细完整、实施性一般、针对本项目得3分； 3、每一项服务方案完整，基本满足项目需求计1分； 4、未提供的不计分。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供应商须提供近年（2021年1月至今）类似项目业绩，每提供1个得2分，最高得10分。 注：响应文件中提供合同或中标通知书复印件并加盖公章。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 注：本项目为专门面向小微企业，对小微企业、监狱企业、残疾人福利性单位不再给予价格扣除。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一、评审内容供应商提出针对于本项目的整体服务计划方案，方案内容包含：①项目需求理解；②活动组织策划及实施方案；③宣传片制作方案；④活动宣传方案；⑤拍摄方案。 二、评审标准 1、每一项方案详细完整、实施性强、专门针对本项目，为本项目提供可实施方案且有具体支撑材料（包含不限于：基础配套摄像设备、人员等材料的证明文件）得6分； 2、每一项方案较详细完整、实施性一般、针对本项目得3分； 3、每一项方案完整，基本满足项目需求计1分； 未提供的不计分。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一、评审内容供应商及时或提前满足采购人时间进度要求并且为采购人预留充分的内部审核时间 二、评审标准 1、时间安排科学合理，利用率高。时效性强得5分； 2、时间安排较合理，利用率较高。时效性较强得3分； 3、时间安排一般，利用率极低。时效性滞后得1分。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一、评审内容供应商提出针对于本项目的应急方案，方案内容包含：①突发事件情况分析；②应急响应时间及应对措施。 二、评审标准 1、每一项应急方案详细完整、实施性强、专门针对本项目，为本项目提供可实施方案得5分； 2、每一项应急方案较详细完整、实施性一般、针对本项目得3分； 3、每一项应急方案完整，基本满足项目需求计1分； 4、未提供的不计分。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针对本项目投入的组织机构人员（包括导演、摄影师、动画制作团队、后期及特效制作团队等），组织机构设置合理，管理人员及技术人员配备数量充足、人员职责明确、分工清晰合理、相关项目实施经验丰富。 1、人员配置合理，数量充足，人员职责、分工明确，相关项目实施经验充足，满足本项目实际需求得15分； 2、人员配置一般，数量充足，人员职责、分工明确，有相关项目实施经验，基本满足本项目实际需求得10分； 3、人员配置较差，数量不足，人员职责、分工不明确，相关项目实施经验不足，不满足本项目实际需求得3分； 未提供得0分。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一、评审内容供应商提出针对于本项目的服务承诺； 二、评审标准: 1、针对本项目服务要求能够充分保证达到项目实施目的，有详细的服务承诺，且承诺内容具有可行性得5分； 2、本项目服务要求能较充分且可达到项目实施目的，有服务承诺，且承诺内容具有可行性得3分； 3、本项目服务要求基本达到项目实施目的，承诺内容可行性一般得1分； 4、未提供的不计分。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一、评审内容供应商提出针对本项目提供完善的服务质量保障措施，服务内容包含：①组织保障措施；②设备保障措施。 二、评审标准 1、每一项服务方案详细完整、实施性强、专门针对本项目，为本项目提供可实施方案得5分； 2、每一项服务方案较详细完整、实施性一般、针对本项目得3分； 3、每一项服务方案完整，基本满足项目需求计1分； 4、未提供的不计分。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供应商须提供近年（2021年1月至今）类似项目业绩，每提供1个得2分，最高得10分。 注：响应文件中提供合同或中标通知书复印件并加盖公章。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 注：本项目为专门面向小微企业，对小微企业、监狱企业、残疾人福利性单位不再给予价格扣除。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详见附件：资格证明文件-投标格式部分.docx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详见附件：资格证明文件-投标格式部分.docx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