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版本号：0617-2624GZ025120260302001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锅炉低氮改造项目(二次)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0617-2624GZ0251</w:t>
      </w:r>
      <w:r>
        <w:br/>
      </w:r>
      <w:r>
        <w:br/>
      </w:r>
      <w:r>
        <w:br/>
      </w:r>
    </w:p>
    <w:p>
      <w:pPr>
        <w:pStyle w:val="null3"/>
        <w:jc w:val="center"/>
        <w:outlineLvl w:val="2"/>
      </w:pPr>
      <w:r>
        <w:rPr>
          <w:rFonts w:ascii="仿宋_GB2312" w:hAnsi="仿宋_GB2312" w:cs="仿宋_GB2312" w:eastAsia="仿宋_GB2312"/>
          <w:sz w:val="28"/>
          <w:b/>
        </w:rPr>
        <w:t>西安市精神卫生中心</w:t>
      </w:r>
    </w:p>
    <w:p>
      <w:pPr>
        <w:pStyle w:val="null3"/>
        <w:jc w:val="center"/>
        <w:outlineLvl w:val="2"/>
      </w:pPr>
      <w:r>
        <w:rPr>
          <w:rFonts w:ascii="仿宋_GB2312" w:hAnsi="仿宋_GB2312" w:cs="仿宋_GB2312" w:eastAsia="仿宋_GB2312"/>
          <w:sz w:val="28"/>
          <w:b/>
        </w:rPr>
        <w:t>西北(陕西)国际招标有限公司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2026年02月06日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西北(陕西)国际招标有限公司</w:t>
      </w:r>
      <w:r>
        <w:rPr>
          <w:rFonts w:ascii="仿宋_GB2312" w:hAnsi="仿宋_GB2312" w:cs="仿宋_GB2312" w:eastAsia="仿宋_GB2312"/>
        </w:rPr>
        <w:t>（以下简称“代理机构”）受</w:t>
      </w:r>
      <w:r>
        <w:rPr>
          <w:rFonts w:ascii="仿宋_GB2312" w:hAnsi="仿宋_GB2312" w:cs="仿宋_GB2312" w:eastAsia="仿宋_GB2312"/>
        </w:rPr>
        <w:t>西安市精神卫生中心</w:t>
      </w:r>
      <w:r>
        <w:rPr>
          <w:rFonts w:ascii="仿宋_GB2312" w:hAnsi="仿宋_GB2312" w:cs="仿宋_GB2312" w:eastAsia="仿宋_GB2312"/>
        </w:rPr>
        <w:t>委托，拟对</w:t>
      </w:r>
      <w:r>
        <w:rPr>
          <w:rFonts w:ascii="仿宋_GB2312" w:hAnsi="仿宋_GB2312" w:cs="仿宋_GB2312" w:eastAsia="仿宋_GB2312"/>
        </w:rPr>
        <w:t>锅炉低氮改造项目(二次)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0617-2624GZ0251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锅炉低氮改造项目(二次)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项目涉及3台承压燃气热水锅炉的低氮改造，原锅炉型号为WNS5.6-1.0/115/70-Q(8t/h1.0Mpa），额定蒸发量（热功率）为5.6（MW），设计热效率92.16%，当前氮氧化物排放浓度大于30mg/m3。改造后需达到《锅炉大气污染物排放标准》（GB 64/1226-2018）及当地环保部门最新要求，氮氧化物排放浓度≤30mg/m³。</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采购包1（锅炉低氮改造）：属于专门面向中小企业采购。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委托书或法定代表人资格证明书：法定代表人授权委托书（附法定代表人身份证复印件及被授权人身份证复印件）；法定代表人直接参加磋商只须提供法定代表人资格证明书（附法定代表人身份证复印件）；采购文件凡是法定代表人之处，非法人单位的负责人均参照执行。</w:t>
      </w:r>
    </w:p>
    <w:p>
      <w:pPr>
        <w:pStyle w:val="null3"/>
      </w:pPr>
      <w:r>
        <w:rPr>
          <w:rFonts w:ascii="仿宋_GB2312" w:hAnsi="仿宋_GB2312" w:cs="仿宋_GB2312" w:eastAsia="仿宋_GB2312"/>
        </w:rPr>
        <w:t>2、中华人民共和国特种设备生产许可证：具有有效的《中华人民共和国特种设备生产许可证》（锅炉安装、修理、改造）B级及以上资质，提供资质复印件</w:t>
      </w:r>
    </w:p>
    <w:p>
      <w:pPr>
        <w:pStyle w:val="null3"/>
      </w:pPr>
      <w:r>
        <w:rPr>
          <w:rFonts w:ascii="仿宋_GB2312" w:hAnsi="仿宋_GB2312" w:cs="仿宋_GB2312" w:eastAsia="仿宋_GB2312"/>
        </w:rPr>
        <w:t>3、安全生产许可证：具有有效的安全生产许可证，提供安全许可证复印件</w:t>
      </w:r>
    </w:p>
    <w:p>
      <w:pPr>
        <w:pStyle w:val="null3"/>
      </w:pPr>
      <w:r>
        <w:rPr>
          <w:rFonts w:ascii="仿宋_GB2312" w:hAnsi="仿宋_GB2312" w:cs="仿宋_GB2312" w:eastAsia="仿宋_GB2312"/>
        </w:rPr>
        <w:t>4、拟派项目负责要求：拟派项目经理专业资质等级：具有机电工程专业二级及以上注册建造师资格（在本单位注册），有效的安全生产考核合格证书（B证）（在本单位注册），提供项目经理无在建项目承诺书。</w:t>
      </w:r>
    </w:p>
    <w:p>
      <w:pPr>
        <w:pStyle w:val="null3"/>
      </w:pPr>
      <w:r>
        <w:rPr>
          <w:rFonts w:ascii="仿宋_GB2312" w:hAnsi="仿宋_GB2312" w:cs="仿宋_GB2312" w:eastAsia="仿宋_GB2312"/>
        </w:rPr>
        <w:t>5、入陕企业要求：外省企业入陕需按照陕西省住房和城乡建设厅要求在“陕西省建筑市场监管与诚信信息发布平台”或“陕西政务服务网”录入并登记企业基本信息（完成所有录入和登记程序，可以在陕西省住房和城乡建设厅“外省入陕建 筑业企业登记信息查询名单”中查询到企业基本信息）</w:t>
      </w:r>
    </w:p>
    <w:p>
      <w:pPr>
        <w:pStyle w:val="null3"/>
      </w:pPr>
      <w:r>
        <w:rPr>
          <w:rFonts w:ascii="仿宋_GB2312" w:hAnsi="仿宋_GB2312" w:cs="仿宋_GB2312" w:eastAsia="仿宋_GB2312"/>
        </w:rPr>
        <w:t>6、信用查询：供应商不得为“信用中国”网站(http://www.creditchina.gov.cn)列入“失信被执行人（页面跳转至“中国执行信息公开网”http://zxgk.court.gov.cn/shixin/）、重大税收违法失信主体、政府采购严重违法失信行为记录名单”的供应商；不得为中国政府采购网(http://www.ccgp.gov.cn)“政府采购严重违法失信行为记录名单”中的供应商。</w:t>
      </w:r>
    </w:p>
    <w:p>
      <w:pPr>
        <w:pStyle w:val="null3"/>
      </w:pPr>
      <w:r>
        <w:rPr>
          <w:rFonts w:ascii="仿宋_GB2312" w:hAnsi="仿宋_GB2312" w:cs="仿宋_GB2312" w:eastAsia="仿宋_GB2312"/>
        </w:rPr>
        <w:t>7、单位负责人为同一人或者存在直接控股、管理关系的不同供应商，不得参加同一合同项下的政府采购活动：单位负责人为同一人或者存在直接控股、管理关系的不同供应商，不得参加同一合同项下的政府采购活动（提供企业关联关系说明）</w:t>
      </w:r>
    </w:p>
    <w:p>
      <w:pPr>
        <w:pStyle w:val="null3"/>
      </w:pPr>
      <w:r>
        <w:rPr>
          <w:rFonts w:ascii="仿宋_GB2312" w:hAnsi="仿宋_GB2312" w:cs="仿宋_GB2312" w:eastAsia="仿宋_GB2312"/>
        </w:rPr>
        <w:t>8、其他要求：本项目不接受由西安市精神卫生中心职工及其亲属投资举办的企业参加磋商（提供承诺函）</w:t>
      </w:r>
    </w:p>
    <w:p>
      <w:pPr>
        <w:pStyle w:val="null3"/>
      </w:pPr>
      <w:r>
        <w:rPr>
          <w:rFonts w:ascii="仿宋_GB2312" w:hAnsi="仿宋_GB2312" w:cs="仿宋_GB2312" w:eastAsia="仿宋_GB2312"/>
        </w:rPr>
        <w:t>9、不接受联合体磋商：不接受联合体磋商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西安市精神卫生中心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西安市航天大道与包茂高速交汇处东南角</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西安市精神卫生中心经办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029-63609379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西北(陕西)国际招标有限公司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西安市雁塔区南二环西段58号成长大厦10-14层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张宇鑫 李建飞 周小方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029-85592879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lt;招标代理服务收费管理暂行办法&gt;的通知》（计价格[2002]1980号）规定标准下浮25%收取。成交供应商在领取成交通知书前，须向采购代理机构一次性支付代理服务费。开户名称：西北（陕西）国际招标有限公司； 开户银行：交通银行西安长安大学支行 账号：611301151018010003843</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采购包1：组织现场踏勘：是</w:t>
            </w:r>
          </w:p>
          <w:p>
            <w:pPr>
              <w:pStyle w:val="null3"/>
              <w:ind w:firstLine="975"/>
            </w:pPr>
            <w:r>
              <w:rPr>
                <w:rFonts w:ascii="仿宋_GB2312" w:hAnsi="仿宋_GB2312" w:cs="仿宋_GB2312" w:eastAsia="仿宋_GB2312"/>
              </w:rPr>
              <w:t>踏勘时间：2026-03-10 09:00:00</w:t>
            </w:r>
          </w:p>
          <w:p>
            <w:pPr>
              <w:pStyle w:val="null3"/>
              <w:ind w:firstLine="975"/>
            </w:pPr>
            <w:r>
              <w:rPr>
                <w:rFonts w:ascii="仿宋_GB2312" w:hAnsi="仿宋_GB2312" w:cs="仿宋_GB2312" w:eastAsia="仿宋_GB2312"/>
              </w:rPr>
              <w:t>踏勘地点：西安市精神卫生中心锅炉房</w:t>
            </w:r>
          </w:p>
          <w:p>
            <w:pPr>
              <w:pStyle w:val="null3"/>
              <w:ind w:firstLine="975"/>
            </w:pPr>
            <w:r>
              <w:rPr>
                <w:rFonts w:ascii="仿宋_GB2312" w:hAnsi="仿宋_GB2312" w:cs="仿宋_GB2312" w:eastAsia="仿宋_GB2312"/>
              </w:rPr>
              <w:t>联系人：张辉</w:t>
            </w:r>
          </w:p>
          <w:p>
            <w:pPr>
              <w:pStyle w:val="null3"/>
              <w:ind w:firstLine="975"/>
            </w:pPr>
            <w:r>
              <w:rPr>
                <w:rFonts w:ascii="仿宋_GB2312" w:hAnsi="仿宋_GB2312" w:cs="仿宋_GB2312" w:eastAsia="仿宋_GB2312"/>
              </w:rPr>
              <w:t>联系电话号码：15667009537</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西安市精神卫生中心</w:t>
      </w:r>
      <w:r>
        <w:rPr>
          <w:rFonts w:ascii="仿宋_GB2312" w:hAnsi="仿宋_GB2312" w:cs="仿宋_GB2312" w:eastAsia="仿宋_GB2312"/>
        </w:rPr>
        <w:t>和</w:t>
      </w:r>
      <w:r>
        <w:rPr>
          <w:rFonts w:ascii="仿宋_GB2312" w:hAnsi="仿宋_GB2312" w:cs="仿宋_GB2312" w:eastAsia="仿宋_GB2312"/>
        </w:rPr>
        <w:t>西北(陕西)国际招标有限公司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西安市精神卫生中心</w:t>
      </w:r>
      <w:r>
        <w:rPr>
          <w:rFonts w:ascii="仿宋_GB2312" w:hAnsi="仿宋_GB2312" w:cs="仿宋_GB2312" w:eastAsia="仿宋_GB2312"/>
        </w:rPr>
        <w:t>负责解释。除上述磋商文件内容，其他内容由</w:t>
      </w:r>
      <w:r>
        <w:rPr>
          <w:rFonts w:ascii="仿宋_GB2312" w:hAnsi="仿宋_GB2312" w:cs="仿宋_GB2312" w:eastAsia="仿宋_GB2312"/>
        </w:rPr>
        <w:t>西北(陕西)国际招标有限公司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西安市精神卫生中心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西北(陕西)国际招标有限公司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一、参照《陕西省建设工程施工合同》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 三、验收结果合格的，采购人应向成交供应商出具履约验收报告，成交供应商凭验收报告办理相关手续。 四、验收结果不合格的，供应商应当对采购人的损失承担赔偿责任。</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联系人：综合监督管理处</w:t>
      </w:r>
    </w:p>
    <w:p>
      <w:pPr>
        <w:pStyle w:val="null3"/>
      </w:pPr>
      <w:r>
        <w:rPr>
          <w:rFonts w:ascii="仿宋_GB2312" w:hAnsi="仿宋_GB2312" w:cs="仿宋_GB2312" w:eastAsia="仿宋_GB2312"/>
        </w:rPr>
        <w:t>联系电话：029-85362812</w:t>
      </w:r>
    </w:p>
    <w:p>
      <w:pPr>
        <w:pStyle w:val="null3"/>
      </w:pPr>
      <w:r>
        <w:rPr>
          <w:rFonts w:ascii="仿宋_GB2312" w:hAnsi="仿宋_GB2312" w:cs="仿宋_GB2312" w:eastAsia="仿宋_GB2312"/>
        </w:rPr>
        <w:t>地址：陕西省西安市雁塔区南二环西段58号成长大厦12层1203室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700,000.00</w:t>
      </w:r>
    </w:p>
    <w:p>
      <w:pPr>
        <w:pStyle w:val="null3"/>
      </w:pPr>
      <w:r>
        <w:rPr>
          <w:rFonts w:ascii="仿宋_GB2312" w:hAnsi="仿宋_GB2312" w:cs="仿宋_GB2312" w:eastAsia="仿宋_GB2312"/>
        </w:rPr>
        <w:t>采购包最高限价（元）: 700,000.00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锅炉低氮改造工程</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700,000.00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标的名称：锅炉低氮改造工程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2"/>
                <w:b/>
              </w:rPr>
              <w:t>一、项目概况</w:t>
            </w:r>
          </w:p>
          <w:p>
            <w:pPr>
              <w:pStyle w:val="null3"/>
              <w:ind w:left="720"/>
              <w:jc w:val="left"/>
            </w:pPr>
            <w:r>
              <w:rPr>
                <w:rFonts w:ascii="仿宋_GB2312" w:hAnsi="仿宋_GB2312" w:cs="仿宋_GB2312" w:eastAsia="仿宋_GB2312"/>
                <w:sz w:val="21"/>
                <w:color w:val="000000"/>
              </w:rPr>
              <w:t>1.项目名称：</w:t>
            </w:r>
            <w:r>
              <w:rPr>
                <w:rFonts w:ascii="仿宋_GB2312" w:hAnsi="仿宋_GB2312" w:cs="仿宋_GB2312" w:eastAsia="仿宋_GB2312"/>
                <w:sz w:val="21"/>
                <w:color w:val="000000"/>
              </w:rPr>
              <w:t>设备重大应急更换（</w:t>
            </w:r>
            <w:r>
              <w:rPr>
                <w:rFonts w:ascii="仿宋_GB2312" w:hAnsi="仿宋_GB2312" w:cs="仿宋_GB2312" w:eastAsia="仿宋_GB2312"/>
                <w:sz w:val="21"/>
                <w:color w:val="000000"/>
              </w:rPr>
              <w:t>锅炉低氮改造项目</w:t>
            </w:r>
            <w:r>
              <w:rPr>
                <w:rFonts w:ascii="仿宋_GB2312" w:hAnsi="仿宋_GB2312" w:cs="仿宋_GB2312" w:eastAsia="仿宋_GB2312"/>
                <w:sz w:val="21"/>
                <w:color w:val="000000"/>
              </w:rPr>
              <w:t>）</w:t>
            </w:r>
          </w:p>
          <w:p>
            <w:pPr>
              <w:pStyle w:val="null3"/>
              <w:spacing w:after="60"/>
              <w:ind w:right="30"/>
              <w:jc w:val="left"/>
            </w:pPr>
            <w:r>
              <w:rPr>
                <w:rFonts w:ascii="仿宋_GB2312" w:hAnsi="仿宋_GB2312" w:cs="仿宋_GB2312" w:eastAsia="仿宋_GB2312"/>
                <w:sz w:val="21"/>
                <w:color w:val="000000"/>
              </w:rPr>
              <w:t>2.工程承包方式：包工包料、包工期、包设计、包质量、包安全、包文明施工的交钥匙工程。</w:t>
            </w:r>
          </w:p>
          <w:p>
            <w:pPr>
              <w:pStyle w:val="null3"/>
              <w:spacing w:after="60"/>
              <w:ind w:right="30"/>
              <w:jc w:val="left"/>
            </w:pPr>
            <w:r>
              <w:rPr>
                <w:rFonts w:ascii="仿宋_GB2312" w:hAnsi="仿宋_GB2312" w:cs="仿宋_GB2312" w:eastAsia="仿宋_GB2312"/>
                <w:sz w:val="21"/>
                <w:color w:val="000000"/>
              </w:rPr>
              <w:t>3.项目概况：项目涉及3台承压燃气热水锅炉的低氮改造，原锅炉型号为WNS5.6-1.0/115/70-Q(8t/h1.0Mpa），额定蒸发量（热功率）为5.6（MW），设计热效率92.16%，当前氮氧化物排放浓度</w:t>
            </w:r>
            <w:r>
              <w:rPr>
                <w:rFonts w:ascii="仿宋_GB2312" w:hAnsi="仿宋_GB2312" w:cs="仿宋_GB2312" w:eastAsia="仿宋_GB2312"/>
                <w:sz w:val="21"/>
              </w:rPr>
              <w:t>大于</w:t>
            </w:r>
            <w:r>
              <w:rPr>
                <w:rFonts w:ascii="仿宋_GB2312" w:hAnsi="仿宋_GB2312" w:cs="仿宋_GB2312" w:eastAsia="仿宋_GB2312"/>
                <w:sz w:val="21"/>
                <w:color w:val="000000"/>
              </w:rPr>
              <w:t>30mg/m3。改造后需达到《锅炉大气污染物排放标准》（GB 64/1226-2018）及当地环保部门最新要求，氮氧化物排放浓度≤30mg/m³。</w:t>
            </w:r>
          </w:p>
          <w:tbl>
            <w:tblPr>
              <w:tblBorders>
                <w:top w:val="none" w:color="000000" w:sz="4"/>
                <w:left w:val="none" w:color="000000" w:sz="4"/>
                <w:bottom w:val="none" w:color="000000" w:sz="4"/>
                <w:right w:val="none" w:color="000000" w:sz="4"/>
                <w:insideH w:val="none"/>
                <w:insideV w:val="none"/>
              </w:tblBorders>
            </w:tblPr>
            <w:tblGrid>
              <w:gridCol w:w="177"/>
              <w:gridCol w:w="288"/>
              <w:gridCol w:w="643"/>
              <w:gridCol w:w="196"/>
              <w:gridCol w:w="282"/>
              <w:gridCol w:w="282"/>
              <w:gridCol w:w="275"/>
              <w:gridCol w:w="374"/>
            </w:tblGrid>
            <w:tr>
              <w:tc>
                <w:tcPr>
                  <w:tcW w:type="dxa" w:w="1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序号</w:t>
                  </w:r>
                </w:p>
              </w:tc>
              <w:tc>
                <w:tcPr>
                  <w:tcW w:type="dxa" w:w="2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设备</w:t>
                  </w:r>
                </w:p>
                <w:p>
                  <w:pPr>
                    <w:pStyle w:val="null3"/>
                    <w:jc w:val="center"/>
                  </w:pPr>
                  <w:r>
                    <w:rPr>
                      <w:rFonts w:ascii="仿宋_GB2312" w:hAnsi="仿宋_GB2312" w:cs="仿宋_GB2312" w:eastAsia="仿宋_GB2312"/>
                      <w:sz w:val="20"/>
                    </w:rPr>
                    <w:t>名称</w:t>
                  </w:r>
                </w:p>
              </w:tc>
              <w:tc>
                <w:tcPr>
                  <w:tcW w:type="dxa" w:w="6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规格</w:t>
                  </w:r>
                </w:p>
              </w:tc>
              <w:tc>
                <w:tcPr>
                  <w:tcW w:type="dxa" w:w="1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数量</w:t>
                  </w:r>
                </w:p>
              </w:tc>
              <w:tc>
                <w:tcPr>
                  <w:tcW w:type="dxa" w:w="2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现有</w:t>
                  </w:r>
                  <w:r>
                    <w:rPr>
                      <w:rFonts w:ascii="仿宋_GB2312" w:hAnsi="仿宋_GB2312" w:cs="仿宋_GB2312" w:eastAsia="仿宋_GB2312"/>
                      <w:sz w:val="20"/>
                    </w:rPr>
                    <w:t>锅炉生产厂家</w:t>
                  </w:r>
                </w:p>
              </w:tc>
              <w:tc>
                <w:tcPr>
                  <w:tcW w:type="dxa" w:w="2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安装地</w:t>
                  </w:r>
                </w:p>
              </w:tc>
              <w:tc>
                <w:tcPr>
                  <w:tcW w:type="dxa" w:w="2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燃料</w:t>
                  </w:r>
                </w:p>
                <w:p>
                  <w:pPr>
                    <w:pStyle w:val="null3"/>
                    <w:jc w:val="center"/>
                  </w:pPr>
                  <w:r>
                    <w:rPr>
                      <w:rFonts w:ascii="仿宋_GB2312" w:hAnsi="仿宋_GB2312" w:cs="仿宋_GB2312" w:eastAsia="仿宋_GB2312"/>
                      <w:sz w:val="20"/>
                    </w:rPr>
                    <w:t>类型</w:t>
                  </w:r>
                </w:p>
              </w:tc>
              <w:tc>
                <w:tcPr>
                  <w:tcW w:type="dxa" w:w="3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氮氧化物排放</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承压</w:t>
                  </w:r>
                  <w:r>
                    <w:rPr>
                      <w:rFonts w:ascii="仿宋_GB2312" w:hAnsi="仿宋_GB2312" w:cs="仿宋_GB2312" w:eastAsia="仿宋_GB2312"/>
                      <w:sz w:val="20"/>
                    </w:rPr>
                    <w:t>燃气热水</w:t>
                  </w:r>
                  <w:r>
                    <w:rPr>
                      <w:rFonts w:ascii="仿宋_GB2312" w:hAnsi="仿宋_GB2312" w:cs="仿宋_GB2312" w:eastAsia="仿宋_GB2312"/>
                      <w:sz w:val="20"/>
                    </w:rPr>
                    <w:t>锅炉</w:t>
                  </w:r>
                </w:p>
              </w:tc>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WNS5.6 -1.0/115/70-Q(8t/h</w:t>
                  </w:r>
                </w:p>
                <w:p>
                  <w:pPr>
                    <w:pStyle w:val="null3"/>
                    <w:jc w:val="center"/>
                  </w:pPr>
                  <w:r>
                    <w:rPr>
                      <w:rFonts w:ascii="仿宋_GB2312" w:hAnsi="仿宋_GB2312" w:cs="仿宋_GB2312" w:eastAsia="仿宋_GB2312"/>
                      <w:sz w:val="20"/>
                    </w:rPr>
                    <w:t>1.0MPa)</w:t>
                  </w:r>
                </w:p>
              </w:tc>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金牛股份有限公司</w:t>
                  </w:r>
                </w:p>
              </w:tc>
              <w:tc>
                <w:tcPr>
                  <w:tcW w:type="dxa" w:w="28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西安市精神卫生中心锅炉设备间内</w:t>
                  </w:r>
                </w:p>
              </w:tc>
              <w:tc>
                <w:tcPr>
                  <w:tcW w:type="dxa" w:w="27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天然气</w:t>
                  </w:r>
                </w:p>
              </w:tc>
              <w:tc>
                <w:tcPr>
                  <w:tcW w:type="dxa" w:w="37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大于</w:t>
                  </w:r>
                  <w:r>
                    <w:rPr>
                      <w:rFonts w:ascii="仿宋_GB2312" w:hAnsi="仿宋_GB2312" w:cs="仿宋_GB2312" w:eastAsia="仿宋_GB2312"/>
                      <w:sz w:val="20"/>
                    </w:rPr>
                    <w:t>30mg/m</w:t>
                  </w:r>
                  <w:r>
                    <w:rPr>
                      <w:rFonts w:ascii="仿宋_GB2312" w:hAnsi="仿宋_GB2312" w:cs="仿宋_GB2312" w:eastAsia="仿宋_GB2312"/>
                      <w:sz w:val="20"/>
                      <w:vertAlign w:val="superscript"/>
                    </w:rPr>
                    <w:t>3</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燃气燃烧器</w:t>
                  </w:r>
                </w:p>
              </w:tc>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TBG 800 ME</w:t>
                  </w:r>
                </w:p>
              </w:tc>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百得</w:t>
                  </w:r>
                </w:p>
              </w:tc>
              <w:tc>
                <w:tcPr>
                  <w:tcW w:type="dxa" w:w="282"/>
                  <w:vMerge/>
                  <w:tcBorders>
                    <w:top w:val="none" w:color="000000" w:sz="4"/>
                    <w:left w:val="single" w:color="000000" w:sz="4"/>
                    <w:bottom w:val="single" w:color="000000" w:sz="4"/>
                    <w:right w:val="single" w:color="000000" w:sz="4"/>
                  </w:tcBorders>
                </w:tcPr>
                <w:p/>
              </w:tc>
              <w:tc>
                <w:tcPr>
                  <w:tcW w:type="dxa" w:w="275"/>
                  <w:vMerge/>
                  <w:tcBorders>
                    <w:top w:val="none" w:color="000000" w:sz="4"/>
                    <w:left w:val="single" w:color="000000" w:sz="4"/>
                    <w:bottom w:val="single" w:color="000000" w:sz="4"/>
                    <w:right w:val="single" w:color="000000" w:sz="4"/>
                  </w:tcBorders>
                </w:tcPr>
                <w:p/>
              </w:tc>
              <w:tc>
                <w:tcPr>
                  <w:tcW w:type="dxa" w:w="374"/>
                  <w:vMerge/>
                  <w:tcBorders>
                    <w:top w:val="none" w:color="000000" w:sz="4"/>
                    <w:left w:val="single" w:color="000000" w:sz="4"/>
                    <w:bottom w:val="single" w:color="000000" w:sz="4"/>
                    <w:right w:val="single" w:color="000000" w:sz="4"/>
                  </w:tcBorders>
                </w:tcP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燃气阀组</w:t>
                  </w:r>
                </w:p>
              </w:tc>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DN100</w:t>
                  </w:r>
                </w:p>
              </w:tc>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西门子</w:t>
                  </w: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bl>
          <w:p>
            <w:pPr>
              <w:pStyle w:val="null3"/>
            </w:pPr>
            <w:r>
              <w:rPr>
                <w:rFonts w:ascii="仿宋_GB2312" w:hAnsi="仿宋_GB2312" w:cs="仿宋_GB2312" w:eastAsia="仿宋_GB2312"/>
                <w:sz w:val="21"/>
                <w:color w:val="000000"/>
              </w:rPr>
              <w:t>3.计划工期：60日历天，自合同签订之日起至项目竣工验收合格。</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4"/>
                <w:b/>
              </w:rPr>
              <w:t>二、工程内容</w:t>
            </w:r>
          </w:p>
          <w:p>
            <w:pPr>
              <w:pStyle w:val="null3"/>
            </w:pPr>
            <w:r>
              <w:rPr>
                <w:rFonts w:ascii="仿宋_GB2312" w:hAnsi="仿宋_GB2312" w:cs="仿宋_GB2312" w:eastAsia="仿宋_GB2312"/>
                <w:sz w:val="21"/>
              </w:rPr>
              <w:t>（一）工程内容</w:t>
            </w:r>
          </w:p>
          <w:p>
            <w:pPr>
              <w:pStyle w:val="null3"/>
            </w:pPr>
            <w:r>
              <w:rPr>
                <w:rFonts w:ascii="仿宋_GB2312" w:hAnsi="仿宋_GB2312" w:cs="仿宋_GB2312" w:eastAsia="仿宋_GB2312"/>
                <w:sz w:val="21"/>
              </w:rPr>
              <w:t>对现有三台承压燃气热水锅炉更换一体式低氮燃烧器并进行相关低氮改造。工程内容包括但不限于锅炉低氮改造项目方案的设计、设备供应、运输、安装、调试、检测、技术培训、售后服务及与改造相关的土建工程、电气改造、管道调整等全部内容。</w:t>
            </w:r>
          </w:p>
          <w:p>
            <w:pPr>
              <w:pStyle w:val="null3"/>
            </w:pPr>
            <w:r>
              <w:rPr>
                <w:rFonts w:ascii="仿宋_GB2312" w:hAnsi="仿宋_GB2312" w:cs="仿宋_GB2312" w:eastAsia="仿宋_GB2312"/>
                <w:sz w:val="21"/>
              </w:rPr>
              <w:t>（二）改造方案总体要求</w:t>
            </w:r>
          </w:p>
          <w:p>
            <w:pPr>
              <w:pStyle w:val="null3"/>
            </w:pPr>
            <w:r>
              <w:rPr>
                <w:rFonts w:ascii="仿宋_GB2312" w:hAnsi="仿宋_GB2312" w:cs="仿宋_GB2312" w:eastAsia="仿宋_GB2312"/>
                <w:sz w:val="21"/>
              </w:rPr>
              <w:t>1.改造后锅炉的氮氧化物排放浓度小时值不得高于30毫克/立方米，同时一氧化碳排放浓度小时值不高于95毫克/立方米（基准氧含量3.5%）；改造后锅炉带负荷能力未出现明显下降；上述指标监测时，锅炉负荷应保持75%及以上，按热水锅炉耗气量100m³/h/MW。</w:t>
            </w:r>
          </w:p>
          <w:p>
            <w:pPr>
              <w:pStyle w:val="null3"/>
            </w:pPr>
            <w:r>
              <w:rPr>
                <w:rFonts w:ascii="仿宋_GB2312" w:hAnsi="仿宋_GB2312" w:cs="仿宋_GB2312" w:eastAsia="仿宋_GB2312"/>
                <w:sz w:val="21"/>
              </w:rPr>
              <w:t>2.改造后锅炉原有主要性能参数未出现明显下降。</w:t>
            </w:r>
          </w:p>
          <w:p>
            <w:pPr>
              <w:pStyle w:val="null3"/>
            </w:pPr>
            <w:r>
              <w:rPr>
                <w:rFonts w:ascii="仿宋_GB2312" w:hAnsi="仿宋_GB2312" w:cs="仿宋_GB2312" w:eastAsia="仿宋_GB2312"/>
                <w:sz w:val="21"/>
              </w:rPr>
              <w:t>3</w:t>
            </w:r>
            <w:r>
              <w:rPr>
                <w:rFonts w:ascii="仿宋_GB2312" w:hAnsi="仿宋_GB2312" w:cs="仿宋_GB2312" w:eastAsia="仿宋_GB2312"/>
                <w:sz w:val="21"/>
              </w:rPr>
              <w:t>.改造方案需遵循现有设备布局及燃气管道不改动的核心原则，锅炉整体结构不变，在管路安装改造环节充分贴合现场既有布置，燃烧器选型则需严格匹配现有燃气管道的规格与走向，确保所有改造工作不影响锅炉的安全性、可靠性和使用周期。</w:t>
            </w:r>
          </w:p>
          <w:p>
            <w:pPr>
              <w:pStyle w:val="null3"/>
            </w:pPr>
            <w:r>
              <w:rPr>
                <w:rFonts w:ascii="仿宋_GB2312" w:hAnsi="仿宋_GB2312" w:cs="仿宋_GB2312" w:eastAsia="仿宋_GB2312"/>
                <w:sz w:val="21"/>
              </w:rPr>
              <w:t>4</w:t>
            </w:r>
            <w:r>
              <w:rPr>
                <w:rFonts w:ascii="仿宋_GB2312" w:hAnsi="仿宋_GB2312" w:cs="仿宋_GB2312" w:eastAsia="仿宋_GB2312"/>
                <w:sz w:val="21"/>
              </w:rPr>
              <w:t>.所采用的低氮燃烧器及相关设备必须是符合国家相关标准的合格产品，具有产品合格证、检测报告等证明文件，且技术成熟、运行稳定、能耗低、维护方便。</w:t>
            </w:r>
          </w:p>
          <w:p>
            <w:pPr>
              <w:pStyle w:val="null3"/>
            </w:pPr>
            <w:r>
              <w:rPr>
                <w:rFonts w:ascii="仿宋_GB2312" w:hAnsi="仿宋_GB2312" w:cs="仿宋_GB2312" w:eastAsia="仿宋_GB2312"/>
                <w:sz w:val="21"/>
              </w:rPr>
              <w:t>5</w:t>
            </w:r>
            <w:r>
              <w:rPr>
                <w:rFonts w:ascii="仿宋_GB2312" w:hAnsi="仿宋_GB2312" w:cs="仿宋_GB2312" w:eastAsia="仿宋_GB2312"/>
                <w:sz w:val="21"/>
              </w:rPr>
              <w:t>.改造方案应结合原锅炉结构及运行工况进行优化设计，确保改造后的锅炉运行安全可靠，操作便捷。</w:t>
            </w:r>
          </w:p>
          <w:p>
            <w:pPr>
              <w:pStyle w:val="null3"/>
            </w:pPr>
            <w:r>
              <w:rPr>
                <w:rFonts w:ascii="仿宋_GB2312" w:hAnsi="仿宋_GB2312" w:cs="仿宋_GB2312" w:eastAsia="仿宋_GB2312"/>
                <w:sz w:val="21"/>
              </w:rPr>
              <w:t>6</w:t>
            </w:r>
            <w:r>
              <w:rPr>
                <w:rFonts w:ascii="仿宋_GB2312" w:hAnsi="仿宋_GB2312" w:cs="仿宋_GB2312" w:eastAsia="仿宋_GB2312"/>
                <w:sz w:val="21"/>
              </w:rPr>
              <w:t>.改造后的燃烧器及燃烧系统符合《燃油（气）燃烧器安全技术规则》和《锅炉安全技术监察规程》的规定。</w:t>
            </w:r>
          </w:p>
          <w:p>
            <w:pPr>
              <w:pStyle w:val="null3"/>
            </w:pPr>
            <w:r>
              <w:rPr>
                <w:rFonts w:ascii="仿宋_GB2312" w:hAnsi="仿宋_GB2312" w:cs="仿宋_GB2312" w:eastAsia="仿宋_GB2312"/>
                <w:sz w:val="21"/>
              </w:rPr>
              <w:t>7</w:t>
            </w:r>
            <w:r>
              <w:rPr>
                <w:rFonts w:ascii="仿宋_GB2312" w:hAnsi="仿宋_GB2312" w:cs="仿宋_GB2312" w:eastAsia="仿宋_GB2312"/>
                <w:sz w:val="21"/>
              </w:rPr>
              <w:t>.提供燃烧器制造商向燃烧器更换、改造和调试单位出具的授权证明（改造单位为非燃烧器制造商时提供）。</w:t>
            </w:r>
          </w:p>
          <w:p>
            <w:pPr>
              <w:pStyle w:val="null3"/>
            </w:pPr>
            <w:r>
              <w:rPr>
                <w:rFonts w:ascii="仿宋_GB2312" w:hAnsi="仿宋_GB2312" w:cs="仿宋_GB2312" w:eastAsia="仿宋_GB2312"/>
                <w:sz w:val="21"/>
              </w:rPr>
              <w:t>8</w:t>
            </w:r>
            <w:r>
              <w:rPr>
                <w:rFonts w:ascii="仿宋_GB2312" w:hAnsi="仿宋_GB2312" w:cs="仿宋_GB2312" w:eastAsia="仿宋_GB2312"/>
                <w:sz w:val="21"/>
              </w:rPr>
              <w:t>.提供改造后锅炉的排放水平监测报告，燃气锅炉节能、安全检验报告。</w:t>
            </w:r>
          </w:p>
          <w:p>
            <w:pPr>
              <w:pStyle w:val="null3"/>
            </w:pPr>
            <w:r>
              <w:rPr>
                <w:rFonts w:ascii="仿宋_GB2312" w:hAnsi="仿宋_GB2312" w:cs="仿宋_GB2312" w:eastAsia="仿宋_GB2312"/>
                <w:sz w:val="21"/>
              </w:rPr>
              <w:t>9.需将锅炉本体及配套控制柜原有各类检测、显示、控制仪表更换为适配改造方案的新型仪表，仪表需与改造后控制系统、低氮燃烧器系统兼容联动，满足精度及规范要求。</w:t>
            </w:r>
          </w:p>
          <w:p>
            <w:pPr>
              <w:pStyle w:val="null3"/>
            </w:pPr>
            <w:r>
              <w:rPr>
                <w:rFonts w:ascii="仿宋_GB2312" w:hAnsi="仿宋_GB2312" w:cs="仿宋_GB2312" w:eastAsia="仿宋_GB2312"/>
                <w:sz w:val="21"/>
              </w:rPr>
              <w:t>（三）技术要求</w:t>
            </w:r>
          </w:p>
          <w:p>
            <w:pPr>
              <w:pStyle w:val="null3"/>
            </w:pPr>
            <w:r>
              <w:rPr>
                <w:rFonts w:ascii="仿宋_GB2312" w:hAnsi="仿宋_GB2312" w:cs="仿宋_GB2312" w:eastAsia="仿宋_GB2312"/>
                <w:sz w:val="21"/>
              </w:rPr>
              <w:t>1.提供燃烧器型式试验证书（正反面均需提供）。</w:t>
            </w:r>
          </w:p>
          <w:p>
            <w:pPr>
              <w:pStyle w:val="null3"/>
            </w:pPr>
            <w:r>
              <w:rPr>
                <w:rFonts w:ascii="仿宋_GB2312" w:hAnsi="仿宋_GB2312" w:cs="仿宋_GB2312" w:eastAsia="仿宋_GB2312"/>
                <w:sz w:val="21"/>
              </w:rPr>
              <w:t>2.提供燃烧器西门子、喀迈拉、蓝姆泰克或现有设备同等档次的控制系统。</w:t>
            </w:r>
          </w:p>
          <w:p>
            <w:pPr>
              <w:pStyle w:val="null3"/>
            </w:pPr>
            <w:r>
              <w:rPr>
                <w:rFonts w:ascii="仿宋_GB2312" w:hAnsi="仿宋_GB2312" w:cs="仿宋_GB2312" w:eastAsia="仿宋_GB2312"/>
                <w:sz w:val="21"/>
              </w:rPr>
              <w:t>3</w:t>
            </w:r>
            <w:r>
              <w:rPr>
                <w:rFonts w:ascii="仿宋_GB2312" w:hAnsi="仿宋_GB2312" w:cs="仿宋_GB2312" w:eastAsia="仿宋_GB2312"/>
                <w:sz w:val="21"/>
              </w:rPr>
              <w:t>.燃烧器要求：</w:t>
            </w:r>
          </w:p>
          <w:p>
            <w:pPr>
              <w:pStyle w:val="null3"/>
            </w:pPr>
            <w:r>
              <w:rPr>
                <w:rFonts w:ascii="仿宋_GB2312" w:hAnsi="仿宋_GB2312" w:cs="仿宋_GB2312" w:eastAsia="仿宋_GB2312"/>
                <w:sz w:val="21"/>
              </w:rPr>
              <w:t>（</w:t>
            </w:r>
            <w:r>
              <w:rPr>
                <w:rFonts w:ascii="仿宋_GB2312" w:hAnsi="仿宋_GB2312" w:cs="仿宋_GB2312" w:eastAsia="仿宋_GB2312"/>
                <w:sz w:val="21"/>
              </w:rPr>
              <w:t>1）锅炉负荷不低于原锅炉设计；</w:t>
            </w:r>
          </w:p>
          <w:p>
            <w:pPr>
              <w:pStyle w:val="null3"/>
            </w:pPr>
            <w:r>
              <w:rPr>
                <w:rFonts w:ascii="仿宋_GB2312" w:hAnsi="仿宋_GB2312" w:cs="仿宋_GB2312" w:eastAsia="仿宋_GB2312"/>
                <w:sz w:val="21"/>
              </w:rPr>
              <w:t>（</w:t>
            </w:r>
            <w:r>
              <w:rPr>
                <w:rFonts w:ascii="仿宋_GB2312" w:hAnsi="仿宋_GB2312" w:cs="仿宋_GB2312" w:eastAsia="仿宋_GB2312"/>
                <w:sz w:val="21"/>
              </w:rPr>
              <w:t>2）氮氧化物排放标准：锅炉负荷应保持75%及以上时，氮氧化物排放浓度≤30mg/m³；</w:t>
            </w:r>
          </w:p>
          <w:p>
            <w:pPr>
              <w:pStyle w:val="null3"/>
            </w:pPr>
            <w:r>
              <w:rPr>
                <w:rFonts w:ascii="仿宋_GB2312" w:hAnsi="仿宋_GB2312" w:cs="仿宋_GB2312" w:eastAsia="仿宋_GB2312"/>
                <w:sz w:val="21"/>
              </w:rPr>
              <w:t>（</w:t>
            </w:r>
            <w:r>
              <w:rPr>
                <w:rFonts w:ascii="仿宋_GB2312" w:hAnsi="仿宋_GB2312" w:cs="仿宋_GB2312" w:eastAsia="仿宋_GB2312"/>
                <w:sz w:val="21"/>
              </w:rPr>
              <w:t>3）改造后的锅炉效率不低于原锅炉设计效率；</w:t>
            </w:r>
          </w:p>
          <w:p>
            <w:pPr>
              <w:pStyle w:val="null3"/>
            </w:pPr>
            <w:r>
              <w:rPr>
                <w:rFonts w:ascii="仿宋_GB2312" w:hAnsi="仿宋_GB2312" w:cs="仿宋_GB2312" w:eastAsia="仿宋_GB2312"/>
                <w:sz w:val="21"/>
              </w:rPr>
              <w:t>（</w:t>
            </w:r>
            <w:r>
              <w:rPr>
                <w:rFonts w:ascii="仿宋_GB2312" w:hAnsi="仿宋_GB2312" w:cs="仿宋_GB2312" w:eastAsia="仿宋_GB2312"/>
                <w:sz w:val="21"/>
              </w:rPr>
              <w:t>4）温度和压力等参数指标达到原锅炉设计效率；</w:t>
            </w:r>
          </w:p>
          <w:p>
            <w:pPr>
              <w:pStyle w:val="null3"/>
            </w:pPr>
            <w:r>
              <w:rPr>
                <w:rFonts w:ascii="仿宋_GB2312" w:hAnsi="仿宋_GB2312" w:cs="仿宋_GB2312" w:eastAsia="仿宋_GB2312"/>
                <w:sz w:val="21"/>
              </w:rPr>
              <w:t>（</w:t>
            </w:r>
            <w:r>
              <w:rPr>
                <w:rFonts w:ascii="仿宋_GB2312" w:hAnsi="仿宋_GB2312" w:cs="仿宋_GB2312" w:eastAsia="仿宋_GB2312"/>
                <w:sz w:val="21"/>
              </w:rPr>
              <w:t>5）不改变原有锅炉安全联锁控制系统；</w:t>
            </w:r>
          </w:p>
          <w:p>
            <w:pPr>
              <w:pStyle w:val="null3"/>
            </w:pPr>
            <w:r>
              <w:rPr>
                <w:rFonts w:ascii="仿宋_GB2312" w:hAnsi="仿宋_GB2312" w:cs="仿宋_GB2312" w:eastAsia="仿宋_GB2312"/>
                <w:sz w:val="21"/>
              </w:rPr>
              <w:t>（</w:t>
            </w:r>
            <w:r>
              <w:rPr>
                <w:rFonts w:ascii="仿宋_GB2312" w:hAnsi="仿宋_GB2312" w:cs="仿宋_GB2312" w:eastAsia="仿宋_GB2312"/>
                <w:sz w:val="21"/>
              </w:rPr>
              <w:t>6）匹配原有控制柜，锅炉操作控制与原系统匹配；</w:t>
            </w:r>
          </w:p>
          <w:p>
            <w:pPr>
              <w:pStyle w:val="null3"/>
            </w:pPr>
            <w:r>
              <w:rPr>
                <w:rFonts w:ascii="仿宋_GB2312" w:hAnsi="仿宋_GB2312" w:cs="仿宋_GB2312" w:eastAsia="仿宋_GB2312"/>
                <w:sz w:val="21"/>
              </w:rPr>
              <w:t>（</w:t>
            </w:r>
            <w:r>
              <w:rPr>
                <w:rFonts w:ascii="仿宋_GB2312" w:hAnsi="仿宋_GB2312" w:cs="仿宋_GB2312" w:eastAsia="仿宋_GB2312"/>
                <w:sz w:val="21"/>
              </w:rPr>
              <w:t>7）锅炉运行条件与现场工况匹配；</w:t>
            </w:r>
          </w:p>
          <w:p>
            <w:pPr>
              <w:pStyle w:val="null3"/>
            </w:pPr>
            <w:r>
              <w:rPr>
                <w:rFonts w:ascii="仿宋_GB2312" w:hAnsi="仿宋_GB2312" w:cs="仿宋_GB2312" w:eastAsia="仿宋_GB2312"/>
                <w:sz w:val="21"/>
              </w:rPr>
              <w:t>（</w:t>
            </w:r>
            <w:r>
              <w:rPr>
                <w:rFonts w:ascii="仿宋_GB2312" w:hAnsi="仿宋_GB2312" w:cs="仿宋_GB2312" w:eastAsia="仿宋_GB2312"/>
                <w:sz w:val="21"/>
              </w:rPr>
              <w:t>8）所采用燃烧器及附件规格不低于原规格；</w:t>
            </w:r>
          </w:p>
          <w:p>
            <w:pPr>
              <w:pStyle w:val="null3"/>
            </w:pPr>
            <w:r>
              <w:rPr>
                <w:rFonts w:ascii="仿宋_GB2312" w:hAnsi="仿宋_GB2312" w:cs="仿宋_GB2312" w:eastAsia="仿宋_GB2312"/>
                <w:sz w:val="21"/>
              </w:rPr>
              <w:t>（</w:t>
            </w:r>
            <w:r>
              <w:rPr>
                <w:rFonts w:ascii="仿宋_GB2312" w:hAnsi="仿宋_GB2312" w:cs="仿宋_GB2312" w:eastAsia="仿宋_GB2312"/>
                <w:sz w:val="21"/>
              </w:rPr>
              <w:t>9）天然气能耗指标不高于原锅炉指标或国家规范指标值。</w:t>
            </w:r>
          </w:p>
          <w:p>
            <w:pPr>
              <w:pStyle w:val="null3"/>
            </w:pPr>
            <w:r>
              <w:rPr>
                <w:rFonts w:ascii="仿宋_GB2312" w:hAnsi="仿宋_GB2312" w:cs="仿宋_GB2312" w:eastAsia="仿宋_GB2312"/>
                <w:sz w:val="21"/>
              </w:rPr>
              <w:t>（</w:t>
            </w:r>
            <w:r>
              <w:rPr>
                <w:rFonts w:ascii="仿宋_GB2312" w:hAnsi="仿宋_GB2312" w:cs="仿宋_GB2312" w:eastAsia="仿宋_GB2312"/>
                <w:sz w:val="21"/>
              </w:rPr>
              <w:t>10）菜单控制系统，操作简单直观；</w:t>
            </w:r>
          </w:p>
          <w:p>
            <w:pPr>
              <w:pStyle w:val="null3"/>
            </w:pPr>
            <w:r>
              <w:rPr>
                <w:rFonts w:ascii="仿宋_GB2312" w:hAnsi="仿宋_GB2312" w:cs="仿宋_GB2312" w:eastAsia="仿宋_GB2312"/>
                <w:sz w:val="21"/>
              </w:rPr>
              <w:t>（</w:t>
            </w:r>
            <w:r>
              <w:rPr>
                <w:rFonts w:ascii="仿宋_GB2312" w:hAnsi="仿宋_GB2312" w:cs="仿宋_GB2312" w:eastAsia="仿宋_GB2312"/>
                <w:sz w:val="21"/>
              </w:rPr>
              <w:t>11）产品维护方便，可快速取出燃烧头进行检修。</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24"/>
                <w:b/>
              </w:rPr>
              <w:t>三、</w:t>
            </w:r>
            <w:r>
              <w:rPr>
                <w:rFonts w:ascii="仿宋_GB2312" w:hAnsi="仿宋_GB2312" w:cs="仿宋_GB2312" w:eastAsia="仿宋_GB2312"/>
                <w:sz w:val="24"/>
                <w:b/>
              </w:rPr>
              <w:t>产品质量要求</w:t>
            </w:r>
          </w:p>
          <w:p>
            <w:pPr>
              <w:pStyle w:val="null3"/>
            </w:pPr>
            <w:r>
              <w:rPr>
                <w:rFonts w:ascii="仿宋_GB2312" w:hAnsi="仿宋_GB2312" w:cs="仿宋_GB2312" w:eastAsia="仿宋_GB2312"/>
                <w:sz w:val="21"/>
              </w:rPr>
              <w:t>1.燃烧器品牌质量达到或优于意科法兰、威索、欧科、利</w:t>
            </w:r>
            <w:r>
              <w:rPr>
                <w:rFonts w:ascii="仿宋_GB2312" w:hAnsi="仿宋_GB2312" w:cs="仿宋_GB2312" w:eastAsia="仿宋_GB2312"/>
                <w:sz w:val="21"/>
              </w:rPr>
              <w:t>雅</w:t>
            </w:r>
            <w:r>
              <w:rPr>
                <w:rFonts w:ascii="仿宋_GB2312" w:hAnsi="仿宋_GB2312" w:cs="仿宋_GB2312" w:eastAsia="仿宋_GB2312"/>
                <w:sz w:val="21"/>
              </w:rPr>
              <w:t>路、百得品牌，</w:t>
            </w:r>
            <w:r>
              <w:rPr>
                <w:rFonts w:ascii="仿宋_GB2312" w:hAnsi="仿宋_GB2312" w:cs="仿宋_GB2312" w:eastAsia="仿宋_GB2312"/>
                <w:sz w:val="21"/>
              </w:rPr>
              <w:t>机身主要配件如程序控制器、伺服电机、风机马达，点火变压器，压力开关等，均为全进口品牌，确保产品质量的稳定性。</w:t>
            </w:r>
          </w:p>
          <w:p>
            <w:pPr>
              <w:pStyle w:val="null3"/>
            </w:pPr>
            <w:r>
              <w:rPr>
                <w:rFonts w:ascii="仿宋_GB2312" w:hAnsi="仿宋_GB2312" w:cs="仿宋_GB2312" w:eastAsia="仿宋_GB2312"/>
                <w:sz w:val="21"/>
              </w:rPr>
              <w:t>2.程序控制器具备前吹扫和后吹扫功能、空气压力保护、燃气泄漏检测装置、火焰监测系统、高效点火系统保证安全。</w:t>
            </w:r>
          </w:p>
          <w:p>
            <w:pPr>
              <w:pStyle w:val="null3"/>
            </w:pPr>
            <w:r>
              <w:rPr>
                <w:rFonts w:ascii="仿宋_GB2312" w:hAnsi="仿宋_GB2312" w:cs="仿宋_GB2312" w:eastAsia="仿宋_GB2312"/>
                <w:sz w:val="21"/>
              </w:rPr>
              <w:t>3.燃烧器及燃烧系统符合《燃油（气）燃烧器安全技术规则》和《锅炉安全技术监察规程》的规定。</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sz w:val="24"/>
                <w:b/>
              </w:rPr>
              <w:t>四、配套服务</w:t>
            </w:r>
          </w:p>
          <w:p>
            <w:pPr>
              <w:pStyle w:val="null3"/>
            </w:pPr>
            <w:r>
              <w:rPr>
                <w:rFonts w:ascii="仿宋_GB2312" w:hAnsi="仿宋_GB2312" w:cs="仿宋_GB2312" w:eastAsia="仿宋_GB2312"/>
                <w:sz w:val="21"/>
              </w:rPr>
              <w:t>1.供应商需按施工前、施工中、施工后三阶段全程办理锅炉低氮改造项目相关手续。</w:t>
            </w:r>
          </w:p>
          <w:p>
            <w:pPr>
              <w:pStyle w:val="null3"/>
            </w:pPr>
            <w:r>
              <w:rPr>
                <w:rFonts w:ascii="仿宋_GB2312" w:hAnsi="仿宋_GB2312" w:cs="仿宋_GB2312" w:eastAsia="仿宋_GB2312"/>
                <w:sz w:val="21"/>
              </w:rPr>
              <w:t>2.项目施工完成后供应商委托具有相关资质的第三方检测机构进行相关检测并出具合格报告</w:t>
            </w:r>
            <w:r>
              <w:rPr>
                <w:rFonts w:ascii="仿宋_GB2312" w:hAnsi="仿宋_GB2312" w:cs="仿宋_GB2312" w:eastAsia="仿宋_GB2312"/>
                <w:sz w:val="21"/>
              </w:rPr>
              <w:t>，取得环保部门验收</w:t>
            </w:r>
            <w:r>
              <w:rPr>
                <w:rFonts w:ascii="仿宋_GB2312" w:hAnsi="仿宋_GB2312" w:cs="仿宋_GB2312" w:eastAsia="仿宋_GB2312"/>
                <w:sz w:val="21"/>
              </w:rPr>
              <w:t>。</w:t>
            </w:r>
          </w:p>
          <w:p>
            <w:pPr>
              <w:pStyle w:val="null3"/>
            </w:pPr>
            <w:r>
              <w:rPr>
                <w:rFonts w:ascii="仿宋_GB2312" w:hAnsi="仿宋_GB2312" w:cs="仿宋_GB2312" w:eastAsia="仿宋_GB2312"/>
                <w:sz w:val="21"/>
              </w:rPr>
              <w:t>3.项目施工完成后出具项目验收报告并配合</w:t>
            </w:r>
            <w:r>
              <w:rPr>
                <w:rFonts w:ascii="仿宋_GB2312" w:hAnsi="仿宋_GB2312" w:cs="仿宋_GB2312" w:eastAsia="仿宋_GB2312"/>
                <w:sz w:val="21"/>
              </w:rPr>
              <w:t>采购人</w:t>
            </w:r>
            <w:r>
              <w:rPr>
                <w:rFonts w:ascii="仿宋_GB2312" w:hAnsi="仿宋_GB2312" w:cs="仿宋_GB2312" w:eastAsia="仿宋_GB2312"/>
                <w:sz w:val="21"/>
              </w:rPr>
              <w:t>完成相关部门项目验收工作。</w:t>
            </w:r>
          </w:p>
          <w:p>
            <w:pPr>
              <w:pStyle w:val="null3"/>
            </w:pPr>
            <w:r>
              <w:rPr>
                <w:rFonts w:ascii="仿宋_GB2312" w:hAnsi="仿宋_GB2312" w:cs="仿宋_GB2312" w:eastAsia="仿宋_GB2312"/>
                <w:sz w:val="21"/>
              </w:rPr>
              <w:t>4.供应商需配合并主动联系属地相关政府部门，办理锅炉低氮改造后的申请政府奖励补贴资金等相关事宜。</w:t>
            </w:r>
          </w:p>
          <w:p>
            <w:pPr>
              <w:pStyle w:val="null3"/>
            </w:pPr>
            <w:r>
              <w:rPr>
                <w:rFonts w:ascii="仿宋_GB2312" w:hAnsi="仿宋_GB2312" w:cs="仿宋_GB2312" w:eastAsia="仿宋_GB2312"/>
                <w:sz w:val="21"/>
              </w:rPr>
              <w:t>5.供应商应在项目验收合格后向</w:t>
            </w:r>
            <w:r>
              <w:rPr>
                <w:rFonts w:ascii="仿宋_GB2312" w:hAnsi="仿宋_GB2312" w:cs="仿宋_GB2312" w:eastAsia="仿宋_GB2312"/>
                <w:sz w:val="21"/>
              </w:rPr>
              <w:t>采购</w:t>
            </w:r>
            <w:r>
              <w:rPr>
                <w:rFonts w:ascii="仿宋_GB2312" w:hAnsi="仿宋_GB2312" w:cs="仿宋_GB2312" w:eastAsia="仿宋_GB2312"/>
                <w:sz w:val="21"/>
              </w:rPr>
              <w:t>人提供完整的技术资料（包括设备说明书、电路图、安装图、操作规程、维护手册等），并对</w:t>
            </w:r>
            <w:r>
              <w:rPr>
                <w:rFonts w:ascii="仿宋_GB2312" w:hAnsi="仿宋_GB2312" w:cs="仿宋_GB2312" w:eastAsia="仿宋_GB2312"/>
                <w:sz w:val="21"/>
              </w:rPr>
              <w:t>采购</w:t>
            </w:r>
            <w:r>
              <w:rPr>
                <w:rFonts w:ascii="仿宋_GB2312" w:hAnsi="仿宋_GB2312" w:cs="仿宋_GB2312" w:eastAsia="仿宋_GB2312"/>
                <w:sz w:val="21"/>
              </w:rPr>
              <w:t>人操作人员进行免费技术培训，确保操作人员能熟练掌握设备的操作、维护及故障处理技能。</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sz w:val="24"/>
                <w:b/>
              </w:rPr>
              <w:t>五、施工要求</w:t>
            </w:r>
          </w:p>
          <w:p>
            <w:pPr>
              <w:pStyle w:val="null3"/>
            </w:pPr>
            <w:r>
              <w:rPr>
                <w:rFonts w:ascii="仿宋_GB2312" w:hAnsi="仿宋_GB2312" w:cs="仿宋_GB2312" w:eastAsia="仿宋_GB2312"/>
                <w:sz w:val="21"/>
              </w:rPr>
              <w:t>1.在施工期间，成交供应商必须注意院内人员安全，并配备安全员一名加强安全措施，并对施工人员进行安全教育。施工人员必须持证上岗。因采购人工作的特殊性，要求成交供应商在施工中做到封闭性施工，保证安全文明施工。</w:t>
            </w:r>
          </w:p>
          <w:p>
            <w:pPr>
              <w:pStyle w:val="null3"/>
            </w:pPr>
            <w:r>
              <w:rPr>
                <w:rFonts w:ascii="仿宋_GB2312" w:hAnsi="仿宋_GB2312" w:cs="仿宋_GB2312" w:eastAsia="仿宋_GB2312"/>
                <w:sz w:val="21"/>
              </w:rPr>
              <w:t>2.成交供应商应当保证所供材料的来源渠道正常，工程实施完全符合合同规定的技术、方案、质量、规格、材质等要求，并在质保期内、外对由于材料或施工的缺陷而产生的质量问题负责。</w:t>
            </w:r>
          </w:p>
          <w:p>
            <w:pPr>
              <w:pStyle w:val="null3"/>
            </w:pPr>
            <w:r>
              <w:rPr>
                <w:rFonts w:ascii="仿宋_GB2312" w:hAnsi="仿宋_GB2312" w:cs="仿宋_GB2312" w:eastAsia="仿宋_GB2312"/>
                <w:sz w:val="21"/>
              </w:rPr>
              <w:t>3.做到文明施工，与医院做好协调工作。合理安排作业时间，合理降低噪音污染、粉尘污染，确保施工现场周围人员和病人的正常的工作与休息，按国家有关施工时间规定进行施工，施工中避免给他人带来干扰。</w:t>
            </w:r>
          </w:p>
          <w:p>
            <w:pPr>
              <w:pStyle w:val="null3"/>
            </w:pPr>
            <w:r>
              <w:rPr>
                <w:rFonts w:ascii="仿宋_GB2312" w:hAnsi="仿宋_GB2312" w:cs="仿宋_GB2312" w:eastAsia="仿宋_GB2312"/>
                <w:sz w:val="21"/>
              </w:rPr>
              <w:t>4.根据实际需要，供应商应在工程施工实施期间进行巡查，若出现质量问题，供应商应免费对工程出现的问题进行维修。</w:t>
            </w:r>
          </w:p>
          <w:p>
            <w:pPr>
              <w:pStyle w:val="null3"/>
            </w:pPr>
            <w:r>
              <w:rPr>
                <w:rFonts w:ascii="仿宋_GB2312" w:hAnsi="仿宋_GB2312" w:cs="仿宋_GB2312" w:eastAsia="仿宋_GB2312"/>
                <w:sz w:val="21"/>
              </w:rPr>
              <w:t>5.成交供应商应完成施工所需设备、材料的供应、运输至采购人指定地点，并按照国家相关规范交付采购人验收合格。</w:t>
            </w:r>
          </w:p>
          <w:p>
            <w:pPr>
              <w:pStyle w:val="null3"/>
            </w:pPr>
            <w:r>
              <w:rPr>
                <w:rFonts w:ascii="仿宋_GB2312" w:hAnsi="仿宋_GB2312" w:cs="仿宋_GB2312" w:eastAsia="仿宋_GB2312"/>
                <w:sz w:val="21"/>
              </w:rPr>
              <w:t>6.在质保期内，如果发现工程质量及工程材料规格、材质等存在与合同有任何一项不符，采购人可在七个工作日内，以书面形式向成交供应商提出索赔。</w:t>
            </w:r>
          </w:p>
          <w:p>
            <w:pPr>
              <w:pStyle w:val="null3"/>
            </w:pPr>
            <w:r>
              <w:rPr>
                <w:rFonts w:ascii="仿宋_GB2312" w:hAnsi="仿宋_GB2312" w:cs="仿宋_GB2312" w:eastAsia="仿宋_GB2312"/>
                <w:sz w:val="21"/>
              </w:rPr>
              <w:t>7.成交供应商负责办理建筑垃圾外运有关手续并承担所有费用。</w:t>
            </w:r>
          </w:p>
          <w:p>
            <w:pPr>
              <w:pStyle w:val="null3"/>
            </w:pPr>
            <w:r>
              <w:rPr>
                <w:rFonts w:ascii="仿宋_GB2312" w:hAnsi="仿宋_GB2312" w:cs="仿宋_GB2312" w:eastAsia="仿宋_GB2312"/>
                <w:sz w:val="21"/>
              </w:rPr>
              <w:t>8.成交供应商应切实加强施工安全管理，如因措施不力造成人员伤亡或财产损失等一切事故，成交供应商负全责并承担所有费用。</w:t>
            </w:r>
          </w:p>
          <w:p>
            <w:pPr>
              <w:pStyle w:val="null3"/>
            </w:pPr>
            <w:r>
              <w:rPr>
                <w:rFonts w:ascii="仿宋_GB2312" w:hAnsi="仿宋_GB2312" w:cs="仿宋_GB2312" w:eastAsia="仿宋_GB2312"/>
                <w:sz w:val="21"/>
              </w:rPr>
              <w:t>9.成交供应商在施工中妥善处理好各方关系，如有纠纷自行解决，并承担由此产生的法律责任及费用。</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sz w:val="24"/>
                <w:b/>
              </w:rPr>
              <w:t>六、</w:t>
            </w:r>
            <w:r>
              <w:rPr>
                <w:rFonts w:ascii="仿宋_GB2312" w:hAnsi="仿宋_GB2312" w:cs="仿宋_GB2312" w:eastAsia="仿宋_GB2312"/>
                <w:sz w:val="24"/>
                <w:b/>
              </w:rPr>
              <w:t>质量</w:t>
            </w:r>
          </w:p>
          <w:p>
            <w:pPr>
              <w:pStyle w:val="null3"/>
            </w:pPr>
            <w:r>
              <w:rPr>
                <w:rFonts w:ascii="仿宋_GB2312" w:hAnsi="仿宋_GB2312" w:cs="仿宋_GB2312" w:eastAsia="仿宋_GB2312"/>
                <w:sz w:val="21"/>
              </w:rPr>
              <w:t>1.</w:t>
            </w:r>
            <w:r>
              <w:rPr>
                <w:rFonts w:ascii="仿宋_GB2312" w:hAnsi="仿宋_GB2312" w:cs="仿宋_GB2312" w:eastAsia="仿宋_GB2312"/>
                <w:sz w:val="21"/>
              </w:rPr>
              <w:t>工程质量必须符合</w:t>
            </w:r>
            <w:r>
              <w:rPr>
                <w:rFonts w:ascii="仿宋_GB2312" w:hAnsi="仿宋_GB2312" w:cs="仿宋_GB2312" w:eastAsia="仿宋_GB2312"/>
                <w:sz w:val="21"/>
              </w:rPr>
              <w:t>采购文件</w:t>
            </w:r>
            <w:r>
              <w:rPr>
                <w:rFonts w:ascii="仿宋_GB2312" w:hAnsi="仿宋_GB2312" w:cs="仿宋_GB2312" w:eastAsia="仿宋_GB2312"/>
                <w:sz w:val="21"/>
              </w:rPr>
              <w:t>规定的质量标准及国家相关规范，若工程质量不合格，投标人应免费整改，直至验收合格，由此造成的工期延误及费用增加由投标人承担。</w:t>
            </w:r>
          </w:p>
          <w:p>
            <w:pPr>
              <w:pStyle w:val="null3"/>
            </w:pPr>
            <w:r>
              <w:rPr>
                <w:rFonts w:ascii="仿宋_GB2312" w:hAnsi="仿宋_GB2312" w:cs="仿宋_GB2312" w:eastAsia="仿宋_GB2312"/>
                <w:sz w:val="21"/>
              </w:rPr>
              <w:t>2.质量保修期自工程竣工验收合格之日起计算，两年。</w:t>
            </w:r>
          </w:p>
          <w:p>
            <w:pPr>
              <w:pStyle w:val="null3"/>
            </w:pPr>
            <w:r>
              <w:rPr>
                <w:rFonts w:ascii="仿宋_GB2312" w:hAnsi="仿宋_GB2312" w:cs="仿宋_GB2312" w:eastAsia="仿宋_GB2312"/>
                <w:sz w:val="21"/>
              </w:rPr>
              <w:t>3</w:t>
            </w:r>
            <w:r>
              <w:rPr>
                <w:rFonts w:ascii="仿宋_GB2312" w:hAnsi="仿宋_GB2312" w:cs="仿宋_GB2312" w:eastAsia="仿宋_GB2312"/>
                <w:sz w:val="21"/>
              </w:rPr>
              <w:t>.属于保修范围、内容的项目，</w:t>
            </w:r>
            <w:r>
              <w:rPr>
                <w:rFonts w:ascii="仿宋_GB2312" w:hAnsi="仿宋_GB2312" w:cs="仿宋_GB2312" w:eastAsia="仿宋_GB2312"/>
                <w:sz w:val="21"/>
              </w:rPr>
              <w:t>供应商</w:t>
            </w:r>
            <w:r>
              <w:rPr>
                <w:rFonts w:ascii="仿宋_GB2312" w:hAnsi="仿宋_GB2312" w:cs="仿宋_GB2312" w:eastAsia="仿宋_GB2312"/>
                <w:sz w:val="21"/>
              </w:rPr>
              <w:t>应当在接到通知之日起</w:t>
            </w:r>
            <w:r>
              <w:rPr>
                <w:rFonts w:ascii="仿宋_GB2312" w:hAnsi="仿宋_GB2312" w:cs="仿宋_GB2312" w:eastAsia="仿宋_GB2312"/>
                <w:sz w:val="21"/>
              </w:rPr>
              <w:t>1</w:t>
            </w:r>
            <w:r>
              <w:rPr>
                <w:rFonts w:ascii="仿宋_GB2312" w:hAnsi="仿宋_GB2312" w:cs="仿宋_GB2312" w:eastAsia="仿宋_GB2312"/>
                <w:sz w:val="21"/>
              </w:rPr>
              <w:t>天内派人保修。</w:t>
            </w:r>
            <w:r>
              <w:rPr>
                <w:rFonts w:ascii="仿宋_GB2312" w:hAnsi="仿宋_GB2312" w:cs="仿宋_GB2312" w:eastAsia="仿宋_GB2312"/>
                <w:sz w:val="21"/>
              </w:rPr>
              <w:t>供应商</w:t>
            </w:r>
            <w:r>
              <w:rPr>
                <w:rFonts w:ascii="仿宋_GB2312" w:hAnsi="仿宋_GB2312" w:cs="仿宋_GB2312" w:eastAsia="仿宋_GB2312"/>
                <w:sz w:val="21"/>
              </w:rPr>
              <w:t>不在约定期限内派人保修的，发包人可以委托他人修理，修理费用从</w:t>
            </w:r>
            <w:r>
              <w:rPr>
                <w:rFonts w:ascii="仿宋_GB2312" w:hAnsi="仿宋_GB2312" w:cs="仿宋_GB2312" w:eastAsia="仿宋_GB2312"/>
                <w:sz w:val="21"/>
              </w:rPr>
              <w:t>合同余款</w:t>
            </w:r>
            <w:r>
              <w:rPr>
                <w:rFonts w:ascii="仿宋_GB2312" w:hAnsi="仿宋_GB2312" w:cs="仿宋_GB2312" w:eastAsia="仿宋_GB2312"/>
                <w:sz w:val="21"/>
              </w:rPr>
              <w:t>内扣除。</w:t>
            </w:r>
          </w:p>
          <w:p>
            <w:pPr>
              <w:pStyle w:val="null3"/>
            </w:pPr>
            <w:r>
              <w:rPr>
                <w:rFonts w:ascii="仿宋_GB2312" w:hAnsi="仿宋_GB2312" w:cs="仿宋_GB2312" w:eastAsia="仿宋_GB2312"/>
                <w:sz w:val="21"/>
              </w:rPr>
              <w:t>4</w:t>
            </w:r>
            <w:r>
              <w:rPr>
                <w:rFonts w:ascii="仿宋_GB2312" w:hAnsi="仿宋_GB2312" w:cs="仿宋_GB2312" w:eastAsia="仿宋_GB2312"/>
                <w:sz w:val="21"/>
              </w:rPr>
              <w:t>.发生紧急抢修事故的，</w:t>
            </w:r>
            <w:r>
              <w:rPr>
                <w:rFonts w:ascii="仿宋_GB2312" w:hAnsi="仿宋_GB2312" w:cs="仿宋_GB2312" w:eastAsia="仿宋_GB2312"/>
                <w:sz w:val="21"/>
              </w:rPr>
              <w:t>供应商</w:t>
            </w:r>
            <w:r>
              <w:rPr>
                <w:rFonts w:ascii="仿宋_GB2312" w:hAnsi="仿宋_GB2312" w:cs="仿宋_GB2312" w:eastAsia="仿宋_GB2312"/>
                <w:sz w:val="21"/>
              </w:rPr>
              <w:t>在接到事故通知后，应当立即到达事故现场抢修。</w:t>
            </w:r>
          </w:p>
          <w:p>
            <w:pPr>
              <w:pStyle w:val="null3"/>
            </w:pPr>
            <w:r>
              <w:rPr>
                <w:rFonts w:ascii="仿宋_GB2312" w:hAnsi="仿宋_GB2312" w:cs="仿宋_GB2312" w:eastAsia="仿宋_GB2312"/>
                <w:sz w:val="21"/>
              </w:rPr>
              <w:t>5</w:t>
            </w:r>
            <w:r>
              <w:rPr>
                <w:rFonts w:ascii="仿宋_GB2312" w:hAnsi="仿宋_GB2312" w:cs="仿宋_GB2312" w:eastAsia="仿宋_GB2312"/>
                <w:sz w:val="21"/>
              </w:rPr>
              <w:t>.对于涉及结构安全的质量问题，应当按照《房屋建筑工程质量保修办法》</w:t>
            </w:r>
            <w:r>
              <w:rPr>
                <w:rFonts w:ascii="仿宋_GB2312" w:hAnsi="仿宋_GB2312" w:cs="仿宋_GB2312" w:eastAsia="仿宋_GB2312"/>
                <w:sz w:val="21"/>
              </w:rPr>
              <w:t>《特种设备安全监察条例》（国务院令第</w:t>
            </w:r>
            <w:r>
              <w:rPr>
                <w:rFonts w:ascii="仿宋_GB2312" w:hAnsi="仿宋_GB2312" w:cs="仿宋_GB2312" w:eastAsia="仿宋_GB2312"/>
                <w:sz w:val="21"/>
              </w:rPr>
              <w:t>549号）</w:t>
            </w:r>
            <w:r>
              <w:rPr>
                <w:rFonts w:ascii="仿宋_GB2312" w:hAnsi="仿宋_GB2312" w:cs="仿宋_GB2312" w:eastAsia="仿宋_GB2312"/>
                <w:sz w:val="21"/>
              </w:rPr>
              <w:t>和《特种设备安全监督检查办法》的规定，立即向当地主管部门报告，采取安全防范措施；由原设计单位或者有相应资质等级的设计单位提出保修方案，</w:t>
            </w:r>
            <w:r>
              <w:rPr>
                <w:rFonts w:ascii="仿宋_GB2312" w:hAnsi="仿宋_GB2312" w:cs="仿宋_GB2312" w:eastAsia="仿宋_GB2312"/>
                <w:sz w:val="21"/>
              </w:rPr>
              <w:t>供应商</w:t>
            </w:r>
            <w:r>
              <w:rPr>
                <w:rFonts w:ascii="仿宋_GB2312" w:hAnsi="仿宋_GB2312" w:cs="仿宋_GB2312" w:eastAsia="仿宋_GB2312"/>
                <w:sz w:val="21"/>
              </w:rPr>
              <w:t>实施保修。</w:t>
            </w:r>
          </w:p>
          <w:p>
            <w:pPr>
              <w:pStyle w:val="null3"/>
            </w:pPr>
            <w:r>
              <w:rPr>
                <w:rFonts w:ascii="仿宋_GB2312" w:hAnsi="仿宋_GB2312" w:cs="仿宋_GB2312" w:eastAsia="仿宋_GB2312"/>
                <w:sz w:val="21"/>
              </w:rPr>
              <w:t>6</w:t>
            </w:r>
            <w:r>
              <w:rPr>
                <w:rFonts w:ascii="仿宋_GB2312" w:hAnsi="仿宋_GB2312" w:cs="仿宋_GB2312" w:eastAsia="仿宋_GB2312"/>
                <w:sz w:val="21"/>
              </w:rPr>
              <w:t>.质量保修完成后，由</w:t>
            </w:r>
            <w:r>
              <w:rPr>
                <w:rFonts w:ascii="仿宋_GB2312" w:hAnsi="仿宋_GB2312" w:cs="仿宋_GB2312" w:eastAsia="仿宋_GB2312"/>
                <w:sz w:val="21"/>
              </w:rPr>
              <w:t>采购</w:t>
            </w:r>
            <w:r>
              <w:rPr>
                <w:rFonts w:ascii="仿宋_GB2312" w:hAnsi="仿宋_GB2312" w:cs="仿宋_GB2312" w:eastAsia="仿宋_GB2312"/>
                <w:sz w:val="21"/>
              </w:rPr>
              <w:t>人</w:t>
            </w:r>
            <w:r>
              <w:rPr>
                <w:rFonts w:ascii="仿宋_GB2312" w:hAnsi="仿宋_GB2312" w:cs="仿宋_GB2312" w:eastAsia="仿宋_GB2312"/>
                <w:sz w:val="21"/>
              </w:rPr>
              <w:t>组织验收。</w:t>
            </w:r>
          </w:p>
          <w:p>
            <w:pPr>
              <w:pStyle w:val="null3"/>
            </w:pPr>
            <w:r>
              <w:rPr>
                <w:rFonts w:ascii="仿宋_GB2312" w:hAnsi="仿宋_GB2312" w:cs="仿宋_GB2312" w:eastAsia="仿宋_GB2312"/>
                <w:sz w:val="21"/>
              </w:rPr>
              <w:t>7.</w:t>
            </w:r>
            <w:r>
              <w:rPr>
                <w:rFonts w:ascii="仿宋_GB2312" w:hAnsi="仿宋_GB2312" w:cs="仿宋_GB2312" w:eastAsia="仿宋_GB2312"/>
                <w:sz w:val="21"/>
              </w:rPr>
              <w:t>保修费用由造成质量缺陷的责任方承担。</w:t>
            </w:r>
          </w:p>
          <w:p>
            <w:pPr>
              <w:pStyle w:val="null3"/>
            </w:pPr>
            <w:r>
              <w:rPr>
                <w:rFonts w:ascii="仿宋_GB2312" w:hAnsi="仿宋_GB2312" w:cs="仿宋_GB2312" w:eastAsia="仿宋_GB2312"/>
                <w:sz w:val="21"/>
              </w:rPr>
              <w:t>8.</w:t>
            </w:r>
            <w:r>
              <w:rPr>
                <w:rFonts w:ascii="仿宋_GB2312" w:hAnsi="仿宋_GB2312" w:cs="仿宋_GB2312" w:eastAsia="仿宋_GB2312"/>
                <w:sz w:val="21"/>
              </w:rPr>
              <w:t>按照合同付款及决算相关</w:t>
            </w:r>
            <w:r>
              <w:rPr>
                <w:rFonts w:ascii="仿宋_GB2312" w:hAnsi="仿宋_GB2312" w:cs="仿宋_GB2312" w:eastAsia="仿宋_GB2312"/>
                <w:sz w:val="21"/>
              </w:rPr>
              <w:t>要求</w:t>
            </w:r>
            <w:r>
              <w:rPr>
                <w:rFonts w:ascii="仿宋_GB2312" w:hAnsi="仿宋_GB2312" w:cs="仿宋_GB2312" w:eastAsia="仿宋_GB2312"/>
                <w:sz w:val="21"/>
              </w:rPr>
              <w:t>，在工程竣工验收合格后</w:t>
            </w:r>
            <w:r>
              <w:rPr>
                <w:rFonts w:ascii="仿宋_GB2312" w:hAnsi="仿宋_GB2312" w:cs="仿宋_GB2312" w:eastAsia="仿宋_GB2312"/>
                <w:sz w:val="21"/>
              </w:rPr>
              <w:t>2年后，在无索赔争议的情况下，由</w:t>
            </w:r>
            <w:r>
              <w:rPr>
                <w:rFonts w:ascii="仿宋_GB2312" w:hAnsi="仿宋_GB2312" w:cs="仿宋_GB2312" w:eastAsia="仿宋_GB2312"/>
                <w:sz w:val="21"/>
              </w:rPr>
              <w:t>采购</w:t>
            </w:r>
            <w:r>
              <w:rPr>
                <w:rFonts w:ascii="仿宋_GB2312" w:hAnsi="仿宋_GB2312" w:cs="仿宋_GB2312" w:eastAsia="仿宋_GB2312"/>
                <w:sz w:val="21"/>
              </w:rPr>
              <w:t>人</w:t>
            </w:r>
            <w:r>
              <w:rPr>
                <w:rFonts w:ascii="仿宋_GB2312" w:hAnsi="仿宋_GB2312" w:cs="仿宋_GB2312" w:eastAsia="仿宋_GB2312"/>
                <w:sz w:val="21"/>
              </w:rPr>
              <w:t>组织、</w:t>
            </w:r>
            <w:r>
              <w:rPr>
                <w:rFonts w:ascii="仿宋_GB2312" w:hAnsi="仿宋_GB2312" w:cs="仿宋_GB2312" w:eastAsia="仿宋_GB2312"/>
                <w:sz w:val="21"/>
              </w:rPr>
              <w:t>供应商</w:t>
            </w:r>
            <w:r>
              <w:rPr>
                <w:rFonts w:ascii="仿宋_GB2312" w:hAnsi="仿宋_GB2312" w:cs="仿宋_GB2312" w:eastAsia="仿宋_GB2312"/>
                <w:sz w:val="21"/>
              </w:rPr>
              <w:t>参与共同对工程质保情况现场核验，核验无问题后，</w:t>
            </w:r>
            <w:r>
              <w:rPr>
                <w:rFonts w:ascii="仿宋_GB2312" w:hAnsi="仿宋_GB2312" w:cs="仿宋_GB2312" w:eastAsia="仿宋_GB2312"/>
                <w:sz w:val="21"/>
              </w:rPr>
              <w:t>供应商</w:t>
            </w:r>
            <w:r>
              <w:rPr>
                <w:rFonts w:ascii="仿宋_GB2312" w:hAnsi="仿宋_GB2312" w:cs="仿宋_GB2312" w:eastAsia="仿宋_GB2312"/>
                <w:sz w:val="21"/>
              </w:rPr>
              <w:t>在</w:t>
            </w:r>
            <w:r>
              <w:rPr>
                <w:rFonts w:ascii="仿宋_GB2312" w:hAnsi="仿宋_GB2312" w:cs="仿宋_GB2312" w:eastAsia="仿宋_GB2312"/>
                <w:sz w:val="21"/>
              </w:rPr>
              <w:t>采购人</w:t>
            </w:r>
            <w:r>
              <w:rPr>
                <w:rFonts w:ascii="仿宋_GB2312" w:hAnsi="仿宋_GB2312" w:cs="仿宋_GB2312" w:eastAsia="仿宋_GB2312"/>
                <w:sz w:val="21"/>
              </w:rPr>
              <w:t>处办理相关支付手续</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pPr>
            <w:r>
              <w:rPr>
                <w:rFonts w:ascii="仿宋_GB2312" w:hAnsi="仿宋_GB2312" w:cs="仿宋_GB2312" w:eastAsia="仿宋_GB2312"/>
                <w:sz w:val="24"/>
                <w:b/>
              </w:rPr>
              <w:t>七、其他</w:t>
            </w:r>
          </w:p>
          <w:p>
            <w:pPr>
              <w:pStyle w:val="null3"/>
            </w:pPr>
            <w:r>
              <w:rPr>
                <w:rFonts w:ascii="仿宋_GB2312" w:hAnsi="仿宋_GB2312" w:cs="仿宋_GB2312" w:eastAsia="仿宋_GB2312"/>
                <w:sz w:val="21"/>
              </w:rPr>
              <w:t>1.本工程的施工过程和成果必须符合国家有关工程建设标准强制性条文和国家或有关部门关于工程施工方面现行的标准、规范、规程、定额、办法、示例，以及陕西省关于工程施工方面的文件、规定，同时满足中华人民共和国住建部发布的《工程建设标准强制性条文》的规定。</w:t>
            </w:r>
          </w:p>
          <w:p>
            <w:pPr>
              <w:pStyle w:val="null3"/>
            </w:pPr>
            <w:r>
              <w:rPr>
                <w:rFonts w:ascii="仿宋_GB2312" w:hAnsi="仿宋_GB2312" w:cs="仿宋_GB2312" w:eastAsia="仿宋_GB2312"/>
                <w:sz w:val="21"/>
              </w:rPr>
              <w:t>2.本工程其他技术标准及要求执行现行规范和</w:t>
            </w:r>
            <w:r>
              <w:rPr>
                <w:rFonts w:ascii="仿宋_GB2312" w:hAnsi="仿宋_GB2312" w:cs="仿宋_GB2312" w:eastAsia="仿宋_GB2312"/>
                <w:sz w:val="21"/>
              </w:rPr>
              <w:t>采购</w:t>
            </w:r>
            <w:r>
              <w:rPr>
                <w:rFonts w:ascii="仿宋_GB2312" w:hAnsi="仿宋_GB2312" w:cs="仿宋_GB2312" w:eastAsia="仿宋_GB2312"/>
                <w:sz w:val="21"/>
              </w:rPr>
              <w:t>人实际需求。</w:t>
            </w:r>
          </w:p>
          <w:p>
            <w:pPr>
              <w:pStyle w:val="null3"/>
            </w:pPr>
            <w:r>
              <w:rPr>
                <w:rFonts w:ascii="仿宋_GB2312" w:hAnsi="仿宋_GB2312" w:cs="仿宋_GB2312" w:eastAsia="仿宋_GB2312"/>
                <w:sz w:val="21"/>
              </w:rPr>
              <w:t>3.在施工过程中，如果国家或有关部门颁布了新的技术标准或规范，则供应商应采用新的标准或规范进行施工。</w:t>
            </w:r>
          </w:p>
          <w:p>
            <w:pPr>
              <w:pStyle w:val="null3"/>
            </w:pPr>
            <w:r>
              <w:rPr>
                <w:rFonts w:ascii="仿宋_GB2312" w:hAnsi="仿宋_GB2312" w:cs="仿宋_GB2312" w:eastAsia="仿宋_GB2312"/>
                <w:sz w:val="21"/>
              </w:rPr>
              <w:t>4.供应商应先到工地踏勘以充分了解工地位置、地质情况、进出场道路、拆迁干扰、储存空间、运输能力、装卸限制、行车干扰及任何其他足以影响承包价格的情况，了解施工规范、标准以及施工现场实际等情况，并应考虑现有人、材、机市场水平和供应、投标风险、不利的施工因素等，任何因忽视或误解工地情况而导致的索赔或工期延长申请将不获批准。</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工程质量达到“合格”标准，供应商必须严格按照有关施工和验收规范进行施工，符合施工质量验收标准以及国家、省、市、行业及地方标准等相关规范要求。</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符合施工质量验收标准以及国家、省、市、行业及地方标准等相关规范要求。</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1、本项目为固定总价合同交钥匙工程； 2、付款方式：合同签订后支付合同总价的40%预付款，工程竣工、验收合格并移交资料后，支付合同总价的55%，设备设施正常运转两年终验收合格后无息支付合同总价的5%。 每期支付合同款项前，乙方必须按照甲方要求向其提供与当期支付款项金额等值的合法合规有效发票。否则，甲方有权拒付费用且不承担任何责任。 3、工期：60日历天，自合同签订之日起至项目竣工验收合格。 4、质量标准：合格。 5、违约责任及解决争议的方法：依据《中华人民共和国民法典》、《中华人民共和国政府采购法》的相关条款和本合同约定执行。 1、若乙方未全面履行合同义务或者提供的服务质量不能满足本合同或甲方竞争性磋商文件及乙方响应文件约定的或乙方发生违约，乙方必须无条件按甲方要求的时限进行整改，否则甲方有权单方解除合同，解除合同书面通知书送达乙方之日视为合同已解除，并按以下两种方式追究乙方的违约责任： （1）乙方赔偿甲方解除合同的全部损失（包括但不限于重新采购产生的费用以及其它由此造成的甲方对第三方的违约损失等）； （2）乙方支付甲方违约金，违约金计算方法：以合同总价为基数，支付甲方合同总价的30%为违约金。同时，对乙方的违约行为报监管机构进行相应的处罚。 2、若乙方未按照本合同第约定的时间响应并排除故障的，每超过一天，扣除乙方合同总价款的 10 ‰，累计超过 5 日，视为乙方根本违约，甲方有权单方解除合同，解除合同书面通知书到达乙方之日视为合同已解除，并要求乙方按本条第1款之约定承担根本违约责任。 3、由于乙方技术或其他原因造成甲方设备配件损坏，乙方负责免费修复或更换配件，无法修复的，乙方应赔偿由此给甲方造成的全部损失。乙方服务期间维修、维保所用的器材及材料不符合相关质量标准的，乙方必须在 2 日内无条件免费更换，规定期限内拒绝更换或更换 2 次后仍不符合质量要求的，甲方有权单方解除本合同并有权要求乙方按照本条第1款的规定承担根本违约责任。 4、在合同期限内，乙方不得擅自转包、分包本合同项下的合同义务，否则甲方有权单方解除本合同并有权要求乙方按照本条第1款的规定承担根本违约责任。 本合同在履行过程中发生的争议，由甲、乙双方当事人协商解决，协商不成的任意一方可向甲方所在地有管辖权的人民法院提起诉讼。</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1.提供合格有效的法人或者其他组织的营业执照等证明文件， 自然人的身份证明； 2.提供缴费所属日期为磋商响应文件递交截止时间前12个月内任一月份（磋商响应文件递交截止时间当月不计入）的增值税（或所得税）缴费凭据或税务机关出具的完税证明/在法规范围内不需提供的应出具书面说明和证明文件； /或具有依法缴纳税收的诚信声明； 以上二种形式的资料提供任何一种即可； 3.提供缴费所属日期为磋商响应文件递交截止时间前12个月内任一月份（磋商响应文件递交截止时间当月不计入）的缴费凭据或社保机关出具的缴费证明/在法规范围内不需提供的应出具书面说明和证明文件； /或具有依法缴纳社会保障资金的缴纳记录的诚信声明； 以上二种形式的资料提供任何一种即可； 4.提供具有履行合同所必需的设备和专业技术能力的承诺； 5.参加政府采购活动前3年内，在经营活动中没有重大违法记录的书面声明。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供应商须提供的资格证明文件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提供2024年度经审计的财务报告（包括四表一注，即资产负债表、利润表、现金流量表、所有者权益变动表及其附注），且无反对意见；事业法人提供部门决算报告； /或在开标日期前六个月内其基本开户银行出具的资信证明（附《基本存款账户信息》或《银行开户许可证》复印件）； /或财政部门认可的政府采购专业担保机构出具的投标担保函； /或表明具有良好的商业信誉和健全的财务会计制度的诚信声明； 以上四种形式的资料提供任何一种即可。</w:t>
            </w:r>
          </w:p>
        </w:tc>
        <w:tc>
          <w:tcPr>
            <w:tcW w:type="dxa" w:w="1661"/>
          </w:tcPr>
          <w:p>
            <w:pPr>
              <w:pStyle w:val="null3"/>
            </w:pPr>
            <w:r>
              <w:rPr>
                <w:rFonts w:ascii="仿宋_GB2312" w:hAnsi="仿宋_GB2312" w:cs="仿宋_GB2312" w:eastAsia="仿宋_GB2312"/>
              </w:rPr>
              <w:t>供应商须提供的资格证明文件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供应商须提供的资格证明文件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法定代表人授权委托书或法定代表人资格证明书</w:t>
            </w:r>
          </w:p>
        </w:tc>
        <w:tc>
          <w:tcPr>
            <w:tcW w:type="dxa" w:w="3322"/>
          </w:tcPr>
          <w:p>
            <w:pPr>
              <w:pStyle w:val="null3"/>
            </w:pPr>
            <w:r>
              <w:rPr>
                <w:rFonts w:ascii="仿宋_GB2312" w:hAnsi="仿宋_GB2312" w:cs="仿宋_GB2312" w:eastAsia="仿宋_GB2312"/>
              </w:rPr>
              <w:t>法定代表人授权委托书（附法定代表人身份证复印件及被授权人身份证复印件）；法定代表人直接参加磋商只须提供法定代表人资格证明书（附法定代表人身份证复印件）；采购文件凡是法定代表人之处，非法人单位的负责人均参照执行。</w:t>
            </w:r>
          </w:p>
        </w:tc>
        <w:tc>
          <w:tcPr>
            <w:tcW w:type="dxa" w:w="1661"/>
          </w:tcPr>
          <w:p>
            <w:pPr>
              <w:pStyle w:val="null3"/>
            </w:pPr>
            <w:r>
              <w:rPr>
                <w:rFonts w:ascii="仿宋_GB2312" w:hAnsi="仿宋_GB2312" w:cs="仿宋_GB2312" w:eastAsia="仿宋_GB2312"/>
              </w:rPr>
              <w:t>供应商须提供的资格证明文件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中华人民共和国特种设备生产许可证</w:t>
            </w:r>
          </w:p>
        </w:tc>
        <w:tc>
          <w:tcPr>
            <w:tcW w:type="dxa" w:w="3322"/>
          </w:tcPr>
          <w:p>
            <w:pPr>
              <w:pStyle w:val="null3"/>
            </w:pPr>
            <w:r>
              <w:rPr>
                <w:rFonts w:ascii="仿宋_GB2312" w:hAnsi="仿宋_GB2312" w:cs="仿宋_GB2312" w:eastAsia="仿宋_GB2312"/>
              </w:rPr>
              <w:t>具有有效的《中华人民共和国特种设备生产许可证》（锅炉安装、修理、改造）B级及以上资质，提供资质复印件</w:t>
            </w:r>
          </w:p>
        </w:tc>
        <w:tc>
          <w:tcPr>
            <w:tcW w:type="dxa" w:w="1661"/>
          </w:tcPr>
          <w:p>
            <w:pPr>
              <w:pStyle w:val="null3"/>
            </w:pPr>
            <w:r>
              <w:rPr>
                <w:rFonts w:ascii="仿宋_GB2312" w:hAnsi="仿宋_GB2312" w:cs="仿宋_GB2312" w:eastAsia="仿宋_GB2312"/>
              </w:rPr>
              <w:t>供应商须提供的资格证明文件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安全生产许可证</w:t>
            </w:r>
          </w:p>
        </w:tc>
        <w:tc>
          <w:tcPr>
            <w:tcW w:type="dxa" w:w="3322"/>
          </w:tcPr>
          <w:p>
            <w:pPr>
              <w:pStyle w:val="null3"/>
            </w:pPr>
            <w:r>
              <w:rPr>
                <w:rFonts w:ascii="仿宋_GB2312" w:hAnsi="仿宋_GB2312" w:cs="仿宋_GB2312" w:eastAsia="仿宋_GB2312"/>
              </w:rPr>
              <w:t>具有有效的安全生产许可证，提供安全许可证复印件</w:t>
            </w:r>
          </w:p>
        </w:tc>
        <w:tc>
          <w:tcPr>
            <w:tcW w:type="dxa" w:w="1661"/>
          </w:tcPr>
          <w:p>
            <w:pPr>
              <w:pStyle w:val="null3"/>
            </w:pPr>
            <w:r>
              <w:rPr>
                <w:rFonts w:ascii="仿宋_GB2312" w:hAnsi="仿宋_GB2312" w:cs="仿宋_GB2312" w:eastAsia="仿宋_GB2312"/>
              </w:rPr>
              <w:t>供应商须提供的资格证明文件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拟派项目负责要求</w:t>
            </w:r>
          </w:p>
        </w:tc>
        <w:tc>
          <w:tcPr>
            <w:tcW w:type="dxa" w:w="3322"/>
          </w:tcPr>
          <w:p>
            <w:pPr>
              <w:pStyle w:val="null3"/>
            </w:pPr>
            <w:r>
              <w:rPr>
                <w:rFonts w:ascii="仿宋_GB2312" w:hAnsi="仿宋_GB2312" w:cs="仿宋_GB2312" w:eastAsia="仿宋_GB2312"/>
              </w:rPr>
              <w:t>拟派项目经理专业资质等级：具有机电工程专业二级及以上注册建造师资格（在本单位注册），有效的安全生产考核合格证书（B证）（在本单位注册），提供项目经理无在建项目承诺书。</w:t>
            </w:r>
          </w:p>
        </w:tc>
        <w:tc>
          <w:tcPr>
            <w:tcW w:type="dxa" w:w="1661"/>
          </w:tcPr>
          <w:p>
            <w:pPr>
              <w:pStyle w:val="null3"/>
            </w:pPr>
            <w:r>
              <w:rPr>
                <w:rFonts w:ascii="仿宋_GB2312" w:hAnsi="仿宋_GB2312" w:cs="仿宋_GB2312" w:eastAsia="仿宋_GB2312"/>
              </w:rPr>
              <w:t>供应商须提供的资格证明文件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入陕企业要求</w:t>
            </w:r>
          </w:p>
        </w:tc>
        <w:tc>
          <w:tcPr>
            <w:tcW w:type="dxa" w:w="3322"/>
          </w:tcPr>
          <w:p>
            <w:pPr>
              <w:pStyle w:val="null3"/>
            </w:pPr>
            <w:r>
              <w:rPr>
                <w:rFonts w:ascii="仿宋_GB2312" w:hAnsi="仿宋_GB2312" w:cs="仿宋_GB2312" w:eastAsia="仿宋_GB2312"/>
              </w:rPr>
              <w:t>外省企业入陕需按照陕西省住房和城乡建设厅要求在“陕西省建筑市场监管与诚信信息发布平台”或“陕西政务服务网”录入并登记企业基本信息（完成所有录入和登记程序，可以在陕西省住房和城乡建设厅“外省入陕建 筑业企业登记信息查询名单”中查询到企业基本信息）</w:t>
            </w:r>
          </w:p>
        </w:tc>
        <w:tc>
          <w:tcPr>
            <w:tcW w:type="dxa" w:w="1661"/>
          </w:tcPr>
          <w:p>
            <w:pPr>
              <w:pStyle w:val="null3"/>
            </w:pPr>
            <w:r>
              <w:rPr>
                <w:rFonts w:ascii="仿宋_GB2312" w:hAnsi="仿宋_GB2312" w:cs="仿宋_GB2312" w:eastAsia="仿宋_GB2312"/>
              </w:rPr>
              <w:t>供应商须提供的资格证明文件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不得为“信用中国”网站(http://www.creditchina.gov.cn)列入“失信被执行人（页面跳转至“中国执行信息公开网”http://zxgk.court.gov.cn/shixin/）、重大税收违法失信主体、政府采购严重违法失信行为记录名单”的供应商；不得为中国政府采购网(http://www.ccgp.gov.cn)“政府采购严重违法失信行为记录名单”中的供应商。</w:t>
            </w:r>
          </w:p>
        </w:tc>
        <w:tc>
          <w:tcPr>
            <w:tcW w:type="dxa" w:w="1661"/>
          </w:tcPr>
          <w:p>
            <w:pPr>
              <w:pStyle w:val="null3"/>
            </w:pPr>
            <w:r>
              <w:rPr>
                <w:rFonts w:ascii="仿宋_GB2312" w:hAnsi="仿宋_GB2312" w:cs="仿宋_GB2312" w:eastAsia="仿宋_GB2312"/>
              </w:rPr>
              <w:t>供应商须提供的资格证明文件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单位负责人为同一人或者存在直接控股、管理关系的不同供应商，不得参加同一合同项下的政府采购活动（提供企业关联关系说明）</w:t>
            </w:r>
          </w:p>
        </w:tc>
        <w:tc>
          <w:tcPr>
            <w:tcW w:type="dxa" w:w="1661"/>
          </w:tcPr>
          <w:p>
            <w:pPr>
              <w:pStyle w:val="null3"/>
            </w:pPr>
            <w:r>
              <w:rPr>
                <w:rFonts w:ascii="仿宋_GB2312" w:hAnsi="仿宋_GB2312" w:cs="仿宋_GB2312" w:eastAsia="仿宋_GB2312"/>
              </w:rPr>
              <w:t>供应商须提供的资格证明文件 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本项目不接受由西安市精神卫生中心职工及其亲属投资举办的企业参加磋商（提供承诺函）</w:t>
            </w:r>
          </w:p>
        </w:tc>
        <w:tc>
          <w:tcPr>
            <w:tcW w:type="dxa" w:w="1661"/>
          </w:tcPr>
          <w:p>
            <w:pPr>
              <w:pStyle w:val="null3"/>
            </w:pPr>
            <w:r>
              <w:rPr>
                <w:rFonts w:ascii="仿宋_GB2312" w:hAnsi="仿宋_GB2312" w:cs="仿宋_GB2312" w:eastAsia="仿宋_GB2312"/>
              </w:rPr>
              <w:t>供应商须提供的资格证明文件 响应函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不接受联合体磋商</w:t>
            </w:r>
          </w:p>
        </w:tc>
        <w:tc>
          <w:tcPr>
            <w:tcW w:type="dxa" w:w="3322"/>
          </w:tcPr>
          <w:p>
            <w:pPr>
              <w:pStyle w:val="null3"/>
            </w:pPr>
            <w:r>
              <w:rPr>
                <w:rFonts w:ascii="仿宋_GB2312" w:hAnsi="仿宋_GB2312" w:cs="仿宋_GB2312" w:eastAsia="仿宋_GB2312"/>
              </w:rPr>
              <w:t>不接受联合体磋商</w:t>
            </w:r>
          </w:p>
        </w:tc>
        <w:tc>
          <w:tcPr>
            <w:tcW w:type="dxa" w:w="1661"/>
          </w:tcPr>
          <w:p>
            <w:pPr>
              <w:pStyle w:val="null3"/>
            </w:pPr>
            <w:r>
              <w:rPr>
                <w:rFonts w:ascii="仿宋_GB2312" w:hAnsi="仿宋_GB2312" w:cs="仿宋_GB2312" w:eastAsia="仿宋_GB2312"/>
              </w:rPr>
              <w:t>供应商须提供的资格证明文件 响应函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关键内容符合磋商文件要求，不得漏盖漏签</w:t>
            </w:r>
          </w:p>
        </w:tc>
        <w:tc>
          <w:tcPr>
            <w:tcW w:type="dxa" w:w="1661"/>
          </w:tcPr>
          <w:p>
            <w:pPr>
              <w:pStyle w:val="null3"/>
            </w:pPr>
            <w:r>
              <w:rPr>
                <w:rFonts w:ascii="仿宋_GB2312" w:hAnsi="仿宋_GB2312" w:cs="仿宋_GB2312" w:eastAsia="仿宋_GB2312"/>
              </w:rPr>
              <w:t>供应商须提供的资格证明文件 采购产品承诺函 中小企业声明函 磋商响应方案 工程量清单 强制优先采购产品承诺函 响应文件封面 项目管理机构组成表 残疾人福利性单位声明函 报价函 标的清单 供应商类似项目业绩一览表 技术要求要求应答表 商务要求应答表 响应函 其他声明文件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响应磋商文件要求</w:t>
            </w:r>
          </w:p>
        </w:tc>
        <w:tc>
          <w:tcPr>
            <w:tcW w:type="dxa" w:w="1661"/>
          </w:tcPr>
          <w:p>
            <w:pPr>
              <w:pStyle w:val="null3"/>
            </w:pPr>
            <w:r>
              <w:rPr>
                <w:rFonts w:ascii="仿宋_GB2312" w:hAnsi="仿宋_GB2312" w:cs="仿宋_GB2312" w:eastAsia="仿宋_GB2312"/>
              </w:rPr>
              <w:t>响应文件封面 磋商响应方案 商务要求应答表 其他声明文件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 价</w:t>
            </w:r>
          </w:p>
        </w:tc>
        <w:tc>
          <w:tcPr>
            <w:tcW w:type="dxa" w:w="3322"/>
          </w:tcPr>
          <w:p>
            <w:pPr>
              <w:pStyle w:val="null3"/>
            </w:pPr>
            <w:r>
              <w:rPr>
                <w:rFonts w:ascii="仿宋_GB2312" w:hAnsi="仿宋_GB2312" w:cs="仿宋_GB2312" w:eastAsia="仿宋_GB2312"/>
              </w:rPr>
              <w:t>首次报价唯一且不得高于预算金额（最高限价）</w:t>
            </w:r>
          </w:p>
        </w:tc>
        <w:tc>
          <w:tcPr>
            <w:tcW w:type="dxa" w:w="1661"/>
          </w:tcPr>
          <w:p>
            <w:pPr>
              <w:pStyle w:val="null3"/>
            </w:pPr>
            <w:r>
              <w:rPr>
                <w:rFonts w:ascii="仿宋_GB2312" w:hAnsi="仿宋_GB2312" w:cs="仿宋_GB2312" w:eastAsia="仿宋_GB2312"/>
              </w:rPr>
              <w:t>响应文件封面 报价函 其他声明文件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响应磋商文件要求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工程质量</w:t>
            </w:r>
          </w:p>
        </w:tc>
        <w:tc>
          <w:tcPr>
            <w:tcW w:type="dxa" w:w="3322"/>
          </w:tcPr>
          <w:p>
            <w:pPr>
              <w:pStyle w:val="null3"/>
            </w:pPr>
            <w:r>
              <w:rPr>
                <w:rFonts w:ascii="仿宋_GB2312" w:hAnsi="仿宋_GB2312" w:cs="仿宋_GB2312" w:eastAsia="仿宋_GB2312"/>
              </w:rPr>
              <w:t>响应磋商文件要求</w:t>
            </w:r>
          </w:p>
        </w:tc>
        <w:tc>
          <w:tcPr>
            <w:tcW w:type="dxa" w:w="1661"/>
          </w:tcPr>
          <w:p>
            <w:pPr>
              <w:pStyle w:val="null3"/>
            </w:pPr>
            <w:r>
              <w:rPr>
                <w:rFonts w:ascii="仿宋_GB2312" w:hAnsi="仿宋_GB2312" w:cs="仿宋_GB2312" w:eastAsia="仿宋_GB2312"/>
              </w:rPr>
              <w:t>响应文件封面 磋商响应方案 商务要求应答表 其他声明文件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所有提交的证件、资质、文件与印章一致</w:t>
            </w:r>
          </w:p>
        </w:tc>
        <w:tc>
          <w:tcPr>
            <w:tcW w:type="dxa" w:w="1661"/>
          </w:tcPr>
          <w:p>
            <w:pPr>
              <w:pStyle w:val="null3"/>
            </w:pPr>
            <w:r>
              <w:rPr>
                <w:rFonts w:ascii="仿宋_GB2312" w:hAnsi="仿宋_GB2312" w:cs="仿宋_GB2312" w:eastAsia="仿宋_GB2312"/>
              </w:rPr>
              <w:t>供应商须提供的资格证明文件 采购产品承诺函 中小企业声明函 磋商响应方案 工程量清单 强制优先采购产品承诺函 响应文件封面 项目管理机构组成表 残疾人福利性单位声明函 报价函 标的清单 供应商类似项目业绩一览表 技术要求要求应答表 商务要求应答表 响应函 其他声明文件 主要人员简历表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商务、技术要求及合同条款响应</w:t>
            </w:r>
          </w:p>
        </w:tc>
        <w:tc>
          <w:tcPr>
            <w:tcW w:type="dxa" w:w="3322"/>
          </w:tcPr>
          <w:p>
            <w:pPr>
              <w:pStyle w:val="null3"/>
            </w:pPr>
            <w:r>
              <w:rPr>
                <w:rFonts w:ascii="仿宋_GB2312" w:hAnsi="仿宋_GB2312" w:cs="仿宋_GB2312" w:eastAsia="仿宋_GB2312"/>
              </w:rPr>
              <w:t>响应磋商文件中商务、技术实质性要求及合同条款内容，合同条款未含有采购人不能接受的附加条件，磋商文件规定其他无效情形。</w:t>
            </w:r>
          </w:p>
        </w:tc>
        <w:tc>
          <w:tcPr>
            <w:tcW w:type="dxa" w:w="1661"/>
          </w:tcPr>
          <w:p>
            <w:pPr>
              <w:pStyle w:val="null3"/>
            </w:pPr>
            <w:r>
              <w:rPr>
                <w:rFonts w:ascii="仿宋_GB2312" w:hAnsi="仿宋_GB2312" w:cs="仿宋_GB2312" w:eastAsia="仿宋_GB2312"/>
              </w:rPr>
              <w:t>响应文件封面 技术要求要求应答表 商务要求应答表 其他声明文件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对项目的理解</w:t>
            </w:r>
          </w:p>
        </w:tc>
        <w:tc>
          <w:tcPr>
            <w:tcW w:type="dxa" w:w="2492"/>
          </w:tcPr>
          <w:p>
            <w:pPr>
              <w:pStyle w:val="null3"/>
            </w:pPr>
            <w:r>
              <w:rPr>
                <w:rFonts w:ascii="仿宋_GB2312" w:hAnsi="仿宋_GB2312" w:cs="仿宋_GB2312" w:eastAsia="仿宋_GB2312"/>
              </w:rPr>
              <w:t>一、评审内容：①对项目内容、需改造的现有设备情况掌握；②对项目实施过程中的重点和难点分析。 二、评审标准：①全面性：内容全面，包括所有评审内容，无遗漏； ②详细性：内容详细，针对每一评审内容能够有明确具体的描述和说明； ③合理性：内容合理，准确，符合项目实际情况，有利于项目的实施。 三、赋分标准：每一项评审内容满足每一项评审标准得1分，最多得6分；每一项内容相对每一项评审标准存在一处漏洞或缺陷扣0.5分，1分扣完为止；此处缺陷和漏洞是指：①有内容但不够全面，有遗漏、有缺失；②有内容但不够详细，简单粗略，描述含糊；③内容不够合理，不贴合项目实际情况；④内容未针对本项目，明显不符；⑤内容存在逻辑错误，表述存在漏洞。</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w:t>
            </w:r>
          </w:p>
          <w:p>
            <w:pPr>
              <w:pStyle w:val="null3"/>
            </w:pPr>
            <w:r>
              <w:rPr>
                <w:rFonts w:ascii="仿宋_GB2312" w:hAnsi="仿宋_GB2312" w:cs="仿宋_GB2312" w:eastAsia="仿宋_GB2312"/>
              </w:rPr>
              <w:t>技术要求要求应答表</w:t>
            </w:r>
          </w:p>
          <w:p>
            <w:pPr>
              <w:pStyle w:val="null3"/>
            </w:pPr>
            <w:r>
              <w:rPr>
                <w:rFonts w:ascii="仿宋_GB2312" w:hAnsi="仿宋_GB2312" w:cs="仿宋_GB2312" w:eastAsia="仿宋_GB2312"/>
              </w:rPr>
              <w:t>其他声明文件</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商务要求应答表</w:t>
            </w:r>
          </w:p>
          <w:p>
            <w:pPr>
              <w:pStyle w:val="null3"/>
            </w:pPr>
            <w:r>
              <w:rPr>
                <w:rFonts w:ascii="仿宋_GB2312" w:hAnsi="仿宋_GB2312" w:cs="仿宋_GB2312" w:eastAsia="仿宋_GB2312"/>
              </w:rPr>
              <w:t>采购产品承诺函</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施工组织方案</w:t>
            </w:r>
          </w:p>
        </w:tc>
        <w:tc>
          <w:tcPr>
            <w:tcW w:type="dxa" w:w="2492"/>
          </w:tcPr>
          <w:p>
            <w:pPr>
              <w:pStyle w:val="null3"/>
            </w:pPr>
            <w:r>
              <w:rPr>
                <w:rFonts w:ascii="仿宋_GB2312" w:hAnsi="仿宋_GB2312" w:cs="仿宋_GB2312" w:eastAsia="仿宋_GB2312"/>
              </w:rPr>
              <w:t>一、评审内容 为保证设备设施的最终使用效果及施工进度，投标人应制定有整体施工、安装、调试方案。内容包括：①总体施工方案及主要施工工艺、流程；②项目管理及技术力量配备；③质量保证措施；④安全管理体系与措施；⑤人、材、机供应计划；⑥文明施工、环境保护措施。 二、评审标准 ①全面性：内容描述全面无缺漏； ②详细性：内容描述详细具体； ③合理性：内容合理、贴合项目实际需求。 三、赋分依据 每一项评审内容完全满足一项评审标准得1分。每一项内容相对每一项评审标准存在一处漏洞或缺陷扣0.5分，1分扣完为止；此处缺陷和漏洞是指：①有内容但不够全面，有遗漏、有缺失；②有内容但不够详细，简单粗略，描述含糊；③内容不够合理，不贴合项目实际情况；④内容未针对本项目，明显不符；⑤内容存在逻辑错误，表述存在漏洞。</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商务要求应答表</w:t>
            </w:r>
          </w:p>
          <w:p>
            <w:pPr>
              <w:pStyle w:val="null3"/>
            </w:pPr>
            <w:r>
              <w:rPr>
                <w:rFonts w:ascii="仿宋_GB2312" w:hAnsi="仿宋_GB2312" w:cs="仿宋_GB2312" w:eastAsia="仿宋_GB2312"/>
              </w:rPr>
              <w:t>其他声明文件</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技术要求要求应答表</w:t>
            </w:r>
          </w:p>
          <w:p>
            <w:pPr>
              <w:pStyle w:val="null3"/>
            </w:pPr>
            <w:r>
              <w:rPr>
                <w:rFonts w:ascii="仿宋_GB2312" w:hAnsi="仿宋_GB2312" w:cs="仿宋_GB2312" w:eastAsia="仿宋_GB2312"/>
              </w:rPr>
              <w:t>采购产品承诺函</w:t>
            </w:r>
          </w:p>
        </w:tc>
      </w:tr>
      <w:tr>
        <w:tc>
          <w:tcPr>
            <w:tcW w:type="dxa" w:w="831"/>
            <w:vMerge/>
          </w:tcPr>
          <w:p/>
        </w:tc>
        <w:tc>
          <w:tcPr>
            <w:tcW w:type="dxa" w:w="1661"/>
          </w:tcPr>
          <w:p>
            <w:pPr>
              <w:pStyle w:val="null3"/>
            </w:pPr>
            <w:r>
              <w:rPr>
                <w:rFonts w:ascii="仿宋_GB2312" w:hAnsi="仿宋_GB2312" w:cs="仿宋_GB2312" w:eastAsia="仿宋_GB2312"/>
              </w:rPr>
              <w:t>施工进度计划及工期保证措施</w:t>
            </w:r>
          </w:p>
        </w:tc>
        <w:tc>
          <w:tcPr>
            <w:tcW w:type="dxa" w:w="2492"/>
          </w:tcPr>
          <w:p>
            <w:pPr>
              <w:pStyle w:val="null3"/>
            </w:pPr>
            <w:r>
              <w:rPr>
                <w:rFonts w:ascii="仿宋_GB2312" w:hAnsi="仿宋_GB2312" w:cs="仿宋_GB2312" w:eastAsia="仿宋_GB2312"/>
              </w:rPr>
              <w:t>针对本项目有切实可行的施工进度计划及工期保证措施。 一、评审内容：①施工进度计划安排；②确保施工进度的措施及生产供货计划安排及物流运输保障措施。 二、评审标准：①全面性：内容全面，包括所有评审内容，无遗漏； ②详细性：内容详细，针对每一评审内容能够有明确具体的描述和说明； ③合理性：内容合理，准确，符合项目实际情况，有利于项目的实施。 三、赋分标准：每一项评审内容满足每一项评审标准得1分，最多得6分；每一项内容相对每一项评审标准存在一处漏洞或缺陷扣0.5分，1分扣完为止；此处缺陷和漏洞是指：①有内容但不够全面，有遗漏、有缺失；②有内容但不够详细，简单粗略，描述含糊；③内容不够合理，不贴合项目实际情况；④内容未针对本项目，明显不符；⑤内容存在逻辑错误，表述存在漏洞。</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商务要求应答表</w:t>
            </w:r>
          </w:p>
          <w:p>
            <w:pPr>
              <w:pStyle w:val="null3"/>
            </w:pPr>
            <w:r>
              <w:rPr>
                <w:rFonts w:ascii="仿宋_GB2312" w:hAnsi="仿宋_GB2312" w:cs="仿宋_GB2312" w:eastAsia="仿宋_GB2312"/>
              </w:rPr>
              <w:t>采购产品承诺函</w:t>
            </w:r>
          </w:p>
          <w:p>
            <w:pPr>
              <w:pStyle w:val="null3"/>
            </w:pPr>
            <w:r>
              <w:rPr>
                <w:rFonts w:ascii="仿宋_GB2312" w:hAnsi="仿宋_GB2312" w:cs="仿宋_GB2312" w:eastAsia="仿宋_GB2312"/>
              </w:rPr>
              <w:t>其他声明文件</w:t>
            </w:r>
          </w:p>
          <w:p>
            <w:pPr>
              <w:pStyle w:val="null3"/>
            </w:pPr>
            <w:r>
              <w:rPr>
                <w:rFonts w:ascii="仿宋_GB2312" w:hAnsi="仿宋_GB2312" w:cs="仿宋_GB2312" w:eastAsia="仿宋_GB2312"/>
              </w:rPr>
              <w:t>磋商响应方案</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技术要求要求应答表</w:t>
            </w:r>
          </w:p>
        </w:tc>
      </w:tr>
      <w:tr>
        <w:tc>
          <w:tcPr>
            <w:tcW w:type="dxa" w:w="831"/>
            <w:vMerge/>
          </w:tcPr>
          <w:p/>
        </w:tc>
        <w:tc>
          <w:tcPr>
            <w:tcW w:type="dxa" w:w="1661"/>
          </w:tcPr>
          <w:p>
            <w:pPr>
              <w:pStyle w:val="null3"/>
            </w:pPr>
            <w:r>
              <w:rPr>
                <w:rFonts w:ascii="仿宋_GB2312" w:hAnsi="仿宋_GB2312" w:cs="仿宋_GB2312" w:eastAsia="仿宋_GB2312"/>
              </w:rPr>
              <w:t>技术参数与性能指标</w:t>
            </w:r>
          </w:p>
        </w:tc>
        <w:tc>
          <w:tcPr>
            <w:tcW w:type="dxa" w:w="2492"/>
          </w:tcPr>
          <w:p>
            <w:pPr>
              <w:pStyle w:val="null3"/>
            </w:pPr>
            <w:r>
              <w:rPr>
                <w:rFonts w:ascii="仿宋_GB2312" w:hAnsi="仿宋_GB2312" w:cs="仿宋_GB2312" w:eastAsia="仿宋_GB2312"/>
              </w:rPr>
              <w:t>磋商文件第三章 “技术参数与性能指标”全部满足磋商文件要求得12分，每有一项不满足或低于磋商文件要求扣1分，12分扣完为止。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商务要求应答表</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其他声明文件</w:t>
            </w:r>
          </w:p>
          <w:p>
            <w:pPr>
              <w:pStyle w:val="null3"/>
            </w:pPr>
            <w:r>
              <w:rPr>
                <w:rFonts w:ascii="仿宋_GB2312" w:hAnsi="仿宋_GB2312" w:cs="仿宋_GB2312" w:eastAsia="仿宋_GB2312"/>
              </w:rPr>
              <w:t>磋商响应方案</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技术要求要求应答表</w:t>
            </w:r>
          </w:p>
          <w:p>
            <w:pPr>
              <w:pStyle w:val="null3"/>
            </w:pPr>
            <w:r>
              <w:rPr>
                <w:rFonts w:ascii="仿宋_GB2312" w:hAnsi="仿宋_GB2312" w:cs="仿宋_GB2312" w:eastAsia="仿宋_GB2312"/>
              </w:rPr>
              <w:t>采购产品承诺函</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 根据投标单位提供的质量保证措施，包括①质量保证措施②质量管理③安全管理。 二、评审标准 ①完整性：方案须全面，对评审内容中的各项要求有详细描述； ②可实施性：切合本项目实际情况，实施步骤清晰、合理；③针对性：方案能够紧扣项目实际情况，内容科学合理。 三、赋分依据（满分9分） 每一项评审内容满足每一项评审标准得1分，最多得9分；每一项内容相对每一项评审标准存在一处漏洞或缺陷扣0.5分，1分扣完为止；此处缺陷和漏洞是指：①有内容但不够全面，有遗漏、有缺失；②有内容但不够详细，简单粗略，描述含糊；③内容不够合理，不贴合项目实际情况；④内容未针对本项目，明显不符；⑤内容存在逻辑错误，表述存在漏洞。</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其他声明文件</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磋商响应方案</w:t>
            </w:r>
          </w:p>
          <w:p>
            <w:pPr>
              <w:pStyle w:val="null3"/>
            </w:pPr>
            <w:r>
              <w:rPr>
                <w:rFonts w:ascii="仿宋_GB2312" w:hAnsi="仿宋_GB2312" w:cs="仿宋_GB2312" w:eastAsia="仿宋_GB2312"/>
              </w:rPr>
              <w:t>技术要求要求应答表</w:t>
            </w:r>
          </w:p>
          <w:p>
            <w:pPr>
              <w:pStyle w:val="null3"/>
            </w:pPr>
            <w:r>
              <w:rPr>
                <w:rFonts w:ascii="仿宋_GB2312" w:hAnsi="仿宋_GB2312" w:cs="仿宋_GB2312" w:eastAsia="仿宋_GB2312"/>
              </w:rPr>
              <w:t>商务要求应答表</w:t>
            </w:r>
          </w:p>
          <w:p>
            <w:pPr>
              <w:pStyle w:val="null3"/>
            </w:pPr>
            <w:r>
              <w:rPr>
                <w:rFonts w:ascii="仿宋_GB2312" w:hAnsi="仿宋_GB2312" w:cs="仿宋_GB2312" w:eastAsia="仿宋_GB2312"/>
              </w:rPr>
              <w:t>采购产品承诺函</w:t>
            </w:r>
          </w:p>
        </w:tc>
      </w:tr>
      <w:tr>
        <w:tc>
          <w:tcPr>
            <w:tcW w:type="dxa" w:w="831"/>
            <w:vMerge/>
          </w:tcPr>
          <w:p/>
        </w:tc>
        <w:tc>
          <w:tcPr>
            <w:tcW w:type="dxa" w:w="1661"/>
          </w:tcPr>
          <w:p>
            <w:pPr>
              <w:pStyle w:val="null3"/>
            </w:pPr>
            <w:r>
              <w:rPr>
                <w:rFonts w:ascii="仿宋_GB2312" w:hAnsi="仿宋_GB2312" w:cs="仿宋_GB2312" w:eastAsia="仿宋_GB2312"/>
              </w:rPr>
              <w:t>项目经理</w:t>
            </w:r>
          </w:p>
        </w:tc>
        <w:tc>
          <w:tcPr>
            <w:tcW w:type="dxa" w:w="2492"/>
          </w:tcPr>
          <w:p>
            <w:pPr>
              <w:pStyle w:val="null3"/>
            </w:pPr>
            <w:r>
              <w:rPr>
                <w:rFonts w:ascii="仿宋_GB2312" w:hAnsi="仿宋_GB2312" w:cs="仿宋_GB2312" w:eastAsia="仿宋_GB2312"/>
              </w:rPr>
              <w:t>1.拟派项目经理的职称（满分 2分） 拟派项目经理具备中级（含）以上职称得 2 分；其余情况不得分。 评审依据：评审时以供应商提供的拟派项目经理的职称证扫描件或复印件并加盖供应商公章为准，提供多个职称证明材料的，以最高职称证书的扫描件或复印件并加盖供应商公章为准。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其他声明文件</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磋商响应方案</w:t>
            </w:r>
          </w:p>
          <w:p>
            <w:pPr>
              <w:pStyle w:val="null3"/>
            </w:pPr>
            <w:r>
              <w:rPr>
                <w:rFonts w:ascii="仿宋_GB2312" w:hAnsi="仿宋_GB2312" w:cs="仿宋_GB2312" w:eastAsia="仿宋_GB2312"/>
              </w:rPr>
              <w:t>项目管理机构组成表</w:t>
            </w:r>
          </w:p>
        </w:tc>
      </w:tr>
      <w:tr>
        <w:tc>
          <w:tcPr>
            <w:tcW w:type="dxa" w:w="831"/>
            <w:vMerge/>
          </w:tcPr>
          <w:p/>
        </w:tc>
        <w:tc>
          <w:tcPr>
            <w:tcW w:type="dxa" w:w="1661"/>
          </w:tcPr>
          <w:p>
            <w:pPr>
              <w:pStyle w:val="null3"/>
            </w:pPr>
            <w:r>
              <w:rPr>
                <w:rFonts w:ascii="仿宋_GB2312" w:hAnsi="仿宋_GB2312" w:cs="仿宋_GB2312" w:eastAsia="仿宋_GB2312"/>
              </w:rPr>
              <w:t>拟派项目部人员构成</w:t>
            </w:r>
          </w:p>
        </w:tc>
        <w:tc>
          <w:tcPr>
            <w:tcW w:type="dxa" w:w="2492"/>
          </w:tcPr>
          <w:p>
            <w:pPr>
              <w:pStyle w:val="null3"/>
            </w:pPr>
            <w:r>
              <w:rPr>
                <w:rFonts w:ascii="仿宋_GB2312" w:hAnsi="仿宋_GB2312" w:cs="仿宋_GB2312" w:eastAsia="仿宋_GB2312"/>
              </w:rPr>
              <w:t>1.根据提供的拟派项目部人员构成及项目管理机构配置进行评审,每提供一名特种设备作业人员得 1 分，最高得 2 分； 2.除特种设备人员以外，每提供一名其他技术人员得 1 分，最高得 3 分；未配备不得分；本项满分 5分。 评审依据：配备技术人员应提供相关从业证书，评审时以供应商提供加盖供应商公章的证书复印件或扫描件为准。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磋商响应方案</w:t>
            </w:r>
          </w:p>
        </w:tc>
      </w:tr>
      <w:tr>
        <w:tc>
          <w:tcPr>
            <w:tcW w:type="dxa" w:w="831"/>
            <w:vMerge/>
          </w:tcPr>
          <w:p/>
        </w:tc>
        <w:tc>
          <w:tcPr>
            <w:tcW w:type="dxa" w:w="1661"/>
          </w:tcPr>
          <w:p>
            <w:pPr>
              <w:pStyle w:val="null3"/>
            </w:pPr>
            <w:r>
              <w:rPr>
                <w:rFonts w:ascii="仿宋_GB2312" w:hAnsi="仿宋_GB2312" w:cs="仿宋_GB2312" w:eastAsia="仿宋_GB2312"/>
              </w:rPr>
              <w:t>售后服务能力</w:t>
            </w:r>
          </w:p>
        </w:tc>
        <w:tc>
          <w:tcPr>
            <w:tcW w:type="dxa" w:w="2492"/>
          </w:tcPr>
          <w:p>
            <w:pPr>
              <w:pStyle w:val="null3"/>
            </w:pPr>
            <w:r>
              <w:rPr>
                <w:rFonts w:ascii="仿宋_GB2312" w:hAnsi="仿宋_GB2312" w:cs="仿宋_GB2312" w:eastAsia="仿宋_GB2312"/>
              </w:rPr>
              <w:t>一、评审内容 根据项目实际需求提供售后服务方案。内容包含：①售后服务范围及保障措施②响应时间及售后服务便利措施③售后服务人员配置④故障处理及补救措施。 二、评审标准 1.完整性：内容完整无缺漏，对评审内容中的各项要求有具体详细的描述； 2.可实施性及针对性：所提供方案切合本项目实际情况，思路清晰，步骤明确，措施合理； 三、赋分依据 ①售后服务范围及保障措施：每完全满足一个评审标准得1分，满分2分； ②响应时间及售后服务便利措施：每完全满足一个评审标准得1分，满分2分； ③售后服务人员配置：每完全满足一个评审标准得1分，满分2分； ④故障处理及补救措施：每完全满足一个评审标准得1分，满分2分。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磋商响应方案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提供近2023年1月1日至今签订并完成的锅炉改造或锅炉安装施工业绩，以加盖公章的完整业绩合同复印件、验收证明为准，每提供一个有效业绩证明得1分。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磋商响应方案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价格分采用低价优先法计算，即满足竞争性磋商文件要求且磋商报价最低的报价为评审基准价，其价格分为满分。其他供应商的价格分统一按照下列公式计算： 磋商报价 得分=（评审基准价/磋商报价）×30 注：计算分数时四舍五入取小数点后两位。各供应商的磋商最终报价参与价格分评审。</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详见附件：供应商须提供的资格证明文件</w:t>
      </w:r>
    </w:p>
    <w:p>
      <w:pPr>
        <w:pStyle w:val="null3"/>
        <w:ind w:firstLine="960"/>
      </w:pPr>
      <w:r>
        <w:rPr>
          <w:rFonts w:ascii="仿宋_GB2312" w:hAnsi="仿宋_GB2312" w:cs="仿宋_GB2312" w:eastAsia="仿宋_GB2312"/>
        </w:rPr>
        <w:t>详见附件：其他声明文件</w:t>
      </w:r>
    </w:p>
    <w:p>
      <w:pPr>
        <w:pStyle w:val="null3"/>
        <w:ind w:firstLine="960"/>
      </w:pPr>
      <w:r>
        <w:rPr>
          <w:rFonts w:ascii="仿宋_GB2312" w:hAnsi="仿宋_GB2312" w:cs="仿宋_GB2312" w:eastAsia="仿宋_GB2312"/>
        </w:rPr>
        <w:t>详见附件：磋商响应方案</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详见附件：技术要求要求应答表</w:t>
      </w:r>
    </w:p>
    <w:p>
      <w:pPr>
        <w:pStyle w:val="null3"/>
        <w:ind w:firstLine="960"/>
      </w:pPr>
      <w:r>
        <w:rPr>
          <w:rFonts w:ascii="仿宋_GB2312" w:hAnsi="仿宋_GB2312" w:cs="仿宋_GB2312" w:eastAsia="仿宋_GB2312"/>
        </w:rPr>
        <w:t>详见附件：商务要求应答表</w:t>
      </w:r>
    </w:p>
    <w:p>
      <w:pPr>
        <w:pStyle w:val="null3"/>
        <w:ind w:firstLine="960"/>
      </w:pPr>
      <w:r>
        <w:rPr>
          <w:rFonts w:ascii="仿宋_GB2312" w:hAnsi="仿宋_GB2312" w:cs="仿宋_GB2312" w:eastAsia="仿宋_GB2312"/>
        </w:rPr>
        <w:t>详见附件：采购产品承诺函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