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D302EC">
      <w:pPr>
        <w:jc w:val="center"/>
        <w:rPr>
          <w:rFonts w:hint="eastAsia" w:ascii="仿宋" w:hAnsi="仿宋" w:eastAsia="仿宋" w:cs="仿宋"/>
          <w:b/>
          <w:bCs/>
          <w:sz w:val="40"/>
          <w:szCs w:val="48"/>
          <w:lang w:eastAsia="zh-CN"/>
        </w:rPr>
      </w:pPr>
      <w:bookmarkStart w:id="0" w:name="_GoBack"/>
      <w:r>
        <w:rPr>
          <w:rFonts w:hint="eastAsia" w:ascii="仿宋" w:hAnsi="仿宋" w:eastAsia="仿宋" w:cs="仿宋"/>
          <w:b/>
          <w:bCs/>
          <w:sz w:val="40"/>
          <w:szCs w:val="48"/>
          <w:lang w:eastAsia="zh-CN"/>
        </w:rPr>
        <w:t>技术要求应答表</w:t>
      </w:r>
    </w:p>
    <w:bookmarkEnd w:id="0"/>
    <w:p w14:paraId="3B527DAD">
      <w:pPr>
        <w:jc w:val="left"/>
        <w:rPr>
          <w:rFonts w:hint="eastAsia" w:ascii="仿宋" w:hAnsi="仿宋" w:eastAsia="仿宋" w:cs="仿宋"/>
          <w:sz w:val="28"/>
          <w:szCs w:val="36"/>
        </w:rPr>
      </w:pPr>
      <w:r>
        <w:rPr>
          <w:rFonts w:hint="eastAsia" w:ascii="仿宋" w:hAnsi="仿宋" w:eastAsia="仿宋" w:cs="仿宋"/>
          <w:sz w:val="28"/>
          <w:szCs w:val="36"/>
        </w:rPr>
        <w:t>采购项目名称：{请填写采购项目名称}</w:t>
      </w:r>
    </w:p>
    <w:p w14:paraId="166BBE0B">
      <w:pPr>
        <w:jc w:val="left"/>
        <w:rPr>
          <w:rFonts w:hint="eastAsia" w:ascii="仿宋" w:hAnsi="仿宋" w:eastAsia="仿宋" w:cs="仿宋"/>
          <w:sz w:val="28"/>
          <w:szCs w:val="36"/>
        </w:rPr>
      </w:pPr>
      <w:r>
        <w:rPr>
          <w:rFonts w:hint="eastAsia" w:ascii="仿宋" w:hAnsi="仿宋" w:eastAsia="仿宋" w:cs="仿宋"/>
          <w:sz w:val="28"/>
          <w:szCs w:val="36"/>
        </w:rPr>
        <w:t>采购项目编号：{请填写采购项目编号}</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0"/>
        <w:gridCol w:w="2496"/>
        <w:gridCol w:w="2468"/>
        <w:gridCol w:w="2488"/>
      </w:tblGrid>
      <w:tr w14:paraId="5F92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tcPr>
          <w:p w14:paraId="6ADA3946">
            <w:pPr>
              <w:jc w:val="left"/>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val="en-US" w:eastAsia="zh-CN"/>
              </w:rPr>
              <w:t>序号</w:t>
            </w:r>
          </w:p>
        </w:tc>
        <w:tc>
          <w:tcPr>
            <w:tcW w:w="2496" w:type="dxa"/>
          </w:tcPr>
          <w:p w14:paraId="3ECEBFD1">
            <w:pPr>
              <w:jc w:val="left"/>
              <w:rPr>
                <w:rFonts w:hint="eastAsia" w:ascii="仿宋" w:hAnsi="仿宋" w:eastAsia="仿宋" w:cs="仿宋"/>
                <w:sz w:val="28"/>
                <w:szCs w:val="36"/>
                <w:vertAlign w:val="baseline"/>
              </w:rPr>
            </w:pPr>
            <w:r>
              <w:rPr>
                <w:rFonts w:hint="eastAsia" w:ascii="仿宋" w:hAnsi="仿宋" w:eastAsia="仿宋" w:cs="仿宋"/>
                <w:sz w:val="28"/>
                <w:szCs w:val="36"/>
                <w:vertAlign w:val="baseline"/>
              </w:rPr>
              <w:t>磋商文件要求</w:t>
            </w:r>
          </w:p>
        </w:tc>
        <w:tc>
          <w:tcPr>
            <w:tcW w:w="2468" w:type="dxa"/>
          </w:tcPr>
          <w:p w14:paraId="737A02DB">
            <w:pPr>
              <w:jc w:val="left"/>
              <w:rPr>
                <w:rFonts w:hint="eastAsia" w:ascii="仿宋" w:hAnsi="仿宋" w:eastAsia="仿宋" w:cs="仿宋"/>
                <w:sz w:val="28"/>
                <w:szCs w:val="36"/>
                <w:vertAlign w:val="baseline"/>
                <w:lang w:eastAsia="zh-CN"/>
              </w:rPr>
            </w:pPr>
            <w:r>
              <w:rPr>
                <w:rFonts w:hint="eastAsia" w:ascii="仿宋" w:hAnsi="仿宋" w:eastAsia="仿宋" w:cs="仿宋"/>
                <w:sz w:val="28"/>
                <w:szCs w:val="36"/>
                <w:vertAlign w:val="baseline"/>
                <w:lang w:eastAsia="zh-CN"/>
              </w:rPr>
              <w:t>响应文件应答</w:t>
            </w:r>
          </w:p>
        </w:tc>
        <w:tc>
          <w:tcPr>
            <w:tcW w:w="2488" w:type="dxa"/>
          </w:tcPr>
          <w:p w14:paraId="040188BE">
            <w:pPr>
              <w:jc w:val="center"/>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eastAsia="zh-CN"/>
              </w:rPr>
              <w:t>响应情况</w:t>
            </w:r>
          </w:p>
        </w:tc>
      </w:tr>
      <w:tr w14:paraId="71CB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tcPr>
          <w:p w14:paraId="7446AD8F">
            <w:pPr>
              <w:jc w:val="left"/>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val="en-US" w:eastAsia="zh-CN"/>
              </w:rPr>
              <w:t>1</w:t>
            </w:r>
          </w:p>
        </w:tc>
        <w:tc>
          <w:tcPr>
            <w:tcW w:w="2496" w:type="dxa"/>
          </w:tcPr>
          <w:p w14:paraId="41F37364">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（一）工程内容</w:t>
            </w:r>
          </w:p>
          <w:p w14:paraId="4A7D36B8">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sz w:val="28"/>
                <w:szCs w:val="36"/>
                <w:vertAlign w:val="baseline"/>
              </w:rPr>
            </w:pPr>
            <w:r>
              <w:rPr>
                <w:rFonts w:hint="eastAsia" w:ascii="仿宋" w:hAnsi="仿宋" w:eastAsia="仿宋" w:cs="仿宋"/>
                <w:b w:val="0"/>
                <w:bCs/>
                <w:sz w:val="21"/>
                <w:szCs w:val="21"/>
                <w:lang w:eastAsia="zh-CN"/>
              </w:rPr>
              <w:t>对现有三台承压燃气热水锅炉更换一体式低氮燃烧器并进行相关低氮改造。工程内容包括但不限于锅炉低氮改造项目方案的设计、设备供应、运输、安装、调试、检测、技术培训、售后服务及与改造相关的土建工程、电气改造、管道调整等全部内容。</w:t>
            </w:r>
          </w:p>
        </w:tc>
        <w:tc>
          <w:tcPr>
            <w:tcW w:w="2468" w:type="dxa"/>
          </w:tcPr>
          <w:p w14:paraId="3153463E">
            <w:pPr>
              <w:jc w:val="left"/>
              <w:rPr>
                <w:rFonts w:hint="eastAsia" w:ascii="仿宋" w:hAnsi="仿宋" w:eastAsia="仿宋" w:cs="仿宋"/>
                <w:sz w:val="28"/>
                <w:szCs w:val="36"/>
                <w:vertAlign w:val="baseline"/>
              </w:rPr>
            </w:pPr>
          </w:p>
        </w:tc>
        <w:tc>
          <w:tcPr>
            <w:tcW w:w="2488" w:type="dxa"/>
          </w:tcPr>
          <w:p w14:paraId="21427B08">
            <w:pPr>
              <w:jc w:val="left"/>
              <w:rPr>
                <w:rFonts w:hint="eastAsia" w:ascii="仿宋" w:hAnsi="仿宋" w:eastAsia="仿宋" w:cs="仿宋"/>
                <w:sz w:val="28"/>
                <w:szCs w:val="36"/>
                <w:vertAlign w:val="baseline"/>
              </w:rPr>
            </w:pPr>
          </w:p>
        </w:tc>
      </w:tr>
      <w:tr w14:paraId="4B60B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tcPr>
          <w:p w14:paraId="2447C135">
            <w:pPr>
              <w:jc w:val="left"/>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val="en-US" w:eastAsia="zh-CN"/>
              </w:rPr>
              <w:t>2</w:t>
            </w:r>
          </w:p>
        </w:tc>
        <w:tc>
          <w:tcPr>
            <w:tcW w:w="2496" w:type="dxa"/>
          </w:tcPr>
          <w:p w14:paraId="7005777A">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（二）改造方案总体要求</w:t>
            </w:r>
          </w:p>
          <w:p w14:paraId="69699D6E">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1.改造后锅炉的氮氧化物排放浓度小时值不得高于30毫克/立方米，同时一氧化碳排放浓度小时值不高于95毫克/立方米（基准氧含量3.5%）；改造后锅炉带负荷能力未出现明显下降；上述指标监测时，锅炉负荷应保持75%及以上，按热水锅炉耗气量100m³/h/MW。</w:t>
            </w:r>
          </w:p>
          <w:p w14:paraId="737C8070">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2.改造后锅炉原有主要性能参数未出现明显下降。</w:t>
            </w:r>
          </w:p>
          <w:p w14:paraId="2685B062">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3</w:t>
            </w:r>
            <w:r>
              <w:rPr>
                <w:rFonts w:hint="eastAsia" w:ascii="仿宋" w:hAnsi="仿宋" w:eastAsia="仿宋" w:cs="仿宋"/>
                <w:b w:val="0"/>
                <w:bCs/>
                <w:sz w:val="21"/>
                <w:szCs w:val="21"/>
                <w:lang w:eastAsia="zh-CN"/>
              </w:rPr>
              <w:t>.改造方案需遵循现有设备布局及燃气管道不改动的核心原则，锅炉整体结构不变，在管路安装改造环节充分贴合现场既有布置，燃烧器选型则需严格匹配现有燃气管道的规格与走向，确保所有改造工作不影响锅炉的安全性、可靠性和使用周期。</w:t>
            </w:r>
          </w:p>
          <w:p w14:paraId="30BDA8C0">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4</w:t>
            </w:r>
            <w:r>
              <w:rPr>
                <w:rFonts w:hint="eastAsia" w:ascii="仿宋" w:hAnsi="仿宋" w:eastAsia="仿宋" w:cs="仿宋"/>
                <w:b w:val="0"/>
                <w:bCs/>
                <w:sz w:val="21"/>
                <w:szCs w:val="21"/>
                <w:lang w:eastAsia="zh-CN"/>
              </w:rPr>
              <w:t>.所采用的低氮燃烧器及相关设备必须是符合国家相关标准的合格产品，具有产品合格证、检测报告等证明文件，且技术成熟、运行稳定、能耗低、维护方便。</w:t>
            </w:r>
          </w:p>
          <w:p w14:paraId="0B5ADD8D">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5</w:t>
            </w:r>
            <w:r>
              <w:rPr>
                <w:rFonts w:hint="eastAsia" w:ascii="仿宋" w:hAnsi="仿宋" w:eastAsia="仿宋" w:cs="仿宋"/>
                <w:b w:val="0"/>
                <w:bCs/>
                <w:sz w:val="21"/>
                <w:szCs w:val="21"/>
                <w:lang w:eastAsia="zh-CN"/>
              </w:rPr>
              <w:t>.改造方案应结合原锅炉结构及运行工况进行优化设计，确保改造后的锅炉运行安全可靠，操作便捷。</w:t>
            </w:r>
          </w:p>
          <w:p w14:paraId="00F3AF04">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6</w:t>
            </w:r>
            <w:r>
              <w:rPr>
                <w:rFonts w:hint="eastAsia" w:ascii="仿宋" w:hAnsi="仿宋" w:eastAsia="仿宋" w:cs="仿宋"/>
                <w:b w:val="0"/>
                <w:bCs/>
                <w:sz w:val="21"/>
                <w:szCs w:val="21"/>
                <w:lang w:eastAsia="zh-CN"/>
              </w:rPr>
              <w:t>.改造后的燃烧器及燃烧系统符合《燃油（气）燃烧器安全技术规则》和《锅炉安全技术监察规程》的规定。</w:t>
            </w:r>
          </w:p>
          <w:p w14:paraId="7AB5FE5B">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7</w:t>
            </w:r>
            <w:r>
              <w:rPr>
                <w:rFonts w:hint="eastAsia" w:ascii="仿宋" w:hAnsi="仿宋" w:eastAsia="仿宋" w:cs="仿宋"/>
                <w:b w:val="0"/>
                <w:bCs/>
                <w:sz w:val="21"/>
                <w:szCs w:val="21"/>
                <w:lang w:eastAsia="zh-CN"/>
              </w:rPr>
              <w:t>.提供燃烧器制造商向燃烧器更换、改造和调试单位出具的授权证明（改造单位为非燃烧器制造商时提供）。</w:t>
            </w:r>
          </w:p>
          <w:p w14:paraId="25D1DD8C">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8</w:t>
            </w:r>
            <w:r>
              <w:rPr>
                <w:rFonts w:hint="eastAsia" w:ascii="仿宋" w:hAnsi="仿宋" w:eastAsia="仿宋" w:cs="仿宋"/>
                <w:b w:val="0"/>
                <w:bCs/>
                <w:sz w:val="21"/>
                <w:szCs w:val="21"/>
                <w:lang w:eastAsia="zh-CN"/>
              </w:rPr>
              <w:t>.提供改造后锅炉的排放水平监测报告，燃气锅炉节能、安全检验报告。</w:t>
            </w:r>
          </w:p>
          <w:p w14:paraId="153DD0D1">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sz w:val="28"/>
                <w:szCs w:val="36"/>
                <w:vertAlign w:val="baseline"/>
              </w:rPr>
            </w:pPr>
            <w:r>
              <w:rPr>
                <w:rFonts w:hint="eastAsia" w:ascii="仿宋" w:hAnsi="仿宋" w:eastAsia="仿宋" w:cs="仿宋"/>
                <w:b w:val="0"/>
                <w:bCs/>
                <w:color w:val="auto"/>
                <w:sz w:val="21"/>
                <w:szCs w:val="21"/>
                <w:lang w:val="en-US" w:eastAsia="zh-CN"/>
              </w:rPr>
              <w:t>9.需将锅炉本体及配套控制柜原有各类检测、显示、控制仪表更换为适配改造方案的新型仪表，仪表需与改造后控制系统、低氮燃烧器系统兼容联动，满足精度及规范要求。</w:t>
            </w:r>
          </w:p>
        </w:tc>
        <w:tc>
          <w:tcPr>
            <w:tcW w:w="2468" w:type="dxa"/>
          </w:tcPr>
          <w:p w14:paraId="6125BC07">
            <w:pPr>
              <w:jc w:val="left"/>
              <w:rPr>
                <w:rFonts w:hint="eastAsia" w:ascii="仿宋" w:hAnsi="仿宋" w:eastAsia="仿宋" w:cs="仿宋"/>
                <w:sz w:val="28"/>
                <w:szCs w:val="36"/>
                <w:vertAlign w:val="baseline"/>
              </w:rPr>
            </w:pPr>
          </w:p>
        </w:tc>
        <w:tc>
          <w:tcPr>
            <w:tcW w:w="2488" w:type="dxa"/>
          </w:tcPr>
          <w:p w14:paraId="472EBE34">
            <w:pPr>
              <w:jc w:val="left"/>
              <w:rPr>
                <w:rFonts w:hint="eastAsia" w:ascii="仿宋" w:hAnsi="仿宋" w:eastAsia="仿宋" w:cs="仿宋"/>
                <w:sz w:val="28"/>
                <w:szCs w:val="36"/>
                <w:vertAlign w:val="baseline"/>
              </w:rPr>
            </w:pPr>
          </w:p>
        </w:tc>
      </w:tr>
      <w:tr w14:paraId="6A267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tcPr>
          <w:p w14:paraId="06333291">
            <w:pPr>
              <w:jc w:val="left"/>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val="en-US" w:eastAsia="zh-CN"/>
              </w:rPr>
              <w:t>3</w:t>
            </w:r>
          </w:p>
        </w:tc>
        <w:tc>
          <w:tcPr>
            <w:tcW w:w="2496" w:type="dxa"/>
          </w:tcPr>
          <w:p w14:paraId="49CAEF38">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（三）技术要求</w:t>
            </w:r>
          </w:p>
          <w:p w14:paraId="13D0BE83">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1.提供燃烧器型式试验证书（正反面均需提供）。</w:t>
            </w:r>
          </w:p>
          <w:p w14:paraId="37420E52">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2.提供燃烧器西门子、喀迈拉、蓝姆泰克或现有设备同等档次的控制系统。</w:t>
            </w:r>
          </w:p>
          <w:p w14:paraId="05A229E3">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3.燃烧器要求：</w:t>
            </w:r>
          </w:p>
          <w:p w14:paraId="459F1180">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（1）锅炉负荷不低于原锅炉设计；</w:t>
            </w:r>
          </w:p>
          <w:p w14:paraId="0C81DE7F">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（2）氮氧化物排放标准：锅炉负荷应保持75%及以上时，氮氧化物排放浓度≤30mg/m³；</w:t>
            </w:r>
          </w:p>
          <w:p w14:paraId="1BD6A59B">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（3）改造后的锅炉效率不低于原锅炉设计效率；</w:t>
            </w:r>
          </w:p>
          <w:p w14:paraId="7E1786FE">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（4）温度和压力等参数指标达到原锅炉设计效率；</w:t>
            </w:r>
          </w:p>
          <w:p w14:paraId="7B9EAB94">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（5）不改变原有锅炉安全联锁控制系统；</w:t>
            </w:r>
          </w:p>
          <w:p w14:paraId="6BCA8416">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（6）匹配原有控制柜，锅炉操作控制与原系统匹配；</w:t>
            </w:r>
          </w:p>
          <w:p w14:paraId="25CA31AF">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（7）锅炉运行条件与现场工况匹配；</w:t>
            </w:r>
          </w:p>
          <w:p w14:paraId="6F3E60EB">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（8）所采用燃烧器及附件规格不低于原规格；</w:t>
            </w:r>
          </w:p>
          <w:p w14:paraId="5E997EB9">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（9）天然气能耗指标不高于原锅炉指标或国家规范指标值。</w:t>
            </w:r>
          </w:p>
          <w:p w14:paraId="527F9209">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（10）菜单控制系统，操作简单直观；</w:t>
            </w:r>
          </w:p>
          <w:p w14:paraId="35C45E0A">
            <w:pPr>
              <w:jc w:val="left"/>
              <w:rPr>
                <w:rFonts w:hint="eastAsia" w:ascii="仿宋" w:hAnsi="仿宋" w:eastAsia="仿宋" w:cs="仿宋"/>
                <w:sz w:val="28"/>
                <w:szCs w:val="36"/>
                <w:vertAlign w:val="baseline"/>
              </w:rPr>
            </w:pPr>
            <w:r>
              <w:rPr>
                <w:rFonts w:hint="eastAsia" w:ascii="仿宋" w:hAnsi="仿宋" w:eastAsia="仿宋" w:cs="仿宋"/>
                <w:b w:val="0"/>
                <w:bCs/>
                <w:sz w:val="21"/>
                <w:szCs w:val="21"/>
                <w:lang w:eastAsia="zh-CN"/>
              </w:rPr>
              <w:t>（11）产品维护方便，可快速取出燃烧头进行检修。</w:t>
            </w:r>
          </w:p>
        </w:tc>
        <w:tc>
          <w:tcPr>
            <w:tcW w:w="2468" w:type="dxa"/>
          </w:tcPr>
          <w:p w14:paraId="1B7A3529">
            <w:pPr>
              <w:jc w:val="left"/>
              <w:rPr>
                <w:rFonts w:hint="eastAsia" w:ascii="仿宋" w:hAnsi="仿宋" w:eastAsia="仿宋" w:cs="仿宋"/>
                <w:sz w:val="28"/>
                <w:szCs w:val="36"/>
                <w:vertAlign w:val="baseline"/>
              </w:rPr>
            </w:pPr>
          </w:p>
        </w:tc>
        <w:tc>
          <w:tcPr>
            <w:tcW w:w="2488" w:type="dxa"/>
          </w:tcPr>
          <w:p w14:paraId="44E9A75D">
            <w:pPr>
              <w:jc w:val="left"/>
              <w:rPr>
                <w:rFonts w:hint="eastAsia" w:ascii="仿宋" w:hAnsi="仿宋" w:eastAsia="仿宋" w:cs="仿宋"/>
                <w:sz w:val="28"/>
                <w:szCs w:val="36"/>
                <w:vertAlign w:val="baseline"/>
              </w:rPr>
            </w:pPr>
          </w:p>
        </w:tc>
      </w:tr>
      <w:tr w14:paraId="02E7C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tcPr>
          <w:p w14:paraId="2541D4BA">
            <w:pPr>
              <w:jc w:val="left"/>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val="en-US" w:eastAsia="zh-CN"/>
              </w:rPr>
              <w:t>4</w:t>
            </w:r>
          </w:p>
        </w:tc>
        <w:tc>
          <w:tcPr>
            <w:tcW w:w="2496" w:type="dxa"/>
          </w:tcPr>
          <w:p w14:paraId="23A6DEE3">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sz w:val="24"/>
                <w:szCs w:val="24"/>
              </w:rPr>
            </w:pPr>
            <w:r>
              <w:rPr>
                <w:rFonts w:hint="eastAsia" w:ascii="仿宋" w:hAnsi="仿宋" w:eastAsia="仿宋" w:cs="仿宋"/>
                <w:b/>
                <w:sz w:val="24"/>
                <w:szCs w:val="24"/>
                <w:lang w:eastAsia="zh-CN"/>
              </w:rPr>
              <w:t>三、</w:t>
            </w:r>
            <w:r>
              <w:rPr>
                <w:rFonts w:hint="eastAsia" w:ascii="仿宋" w:hAnsi="仿宋" w:eastAsia="仿宋" w:cs="仿宋"/>
                <w:b/>
                <w:sz w:val="24"/>
                <w:szCs w:val="24"/>
              </w:rPr>
              <w:t>产品质量要求</w:t>
            </w:r>
          </w:p>
          <w:p w14:paraId="1149983F">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1.燃烧器品牌质量达到或优于意科法兰、威索、欧科、利</w:t>
            </w:r>
            <w:r>
              <w:rPr>
                <w:rFonts w:hint="eastAsia" w:ascii="仿宋" w:hAnsi="仿宋" w:eastAsia="仿宋" w:cs="仿宋"/>
                <w:b w:val="0"/>
                <w:bCs/>
                <w:sz w:val="21"/>
                <w:szCs w:val="21"/>
                <w:lang w:eastAsia="zh-CN"/>
              </w:rPr>
              <w:t>雅</w:t>
            </w:r>
            <w:r>
              <w:rPr>
                <w:rFonts w:hint="eastAsia" w:ascii="仿宋" w:hAnsi="仿宋" w:eastAsia="仿宋" w:cs="仿宋"/>
                <w:b w:val="0"/>
                <w:bCs/>
                <w:sz w:val="21"/>
                <w:szCs w:val="21"/>
                <w:lang w:val="en-US" w:eastAsia="zh-CN"/>
              </w:rPr>
              <w:t>路、百得品牌， 机身主要配件如程序控制器、伺服电机、风机马达，点火变压器，压力开关等，均为全进口品牌，确保产品质量的稳定性。</w:t>
            </w:r>
          </w:p>
          <w:p w14:paraId="64CC2253">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2.程序控制器具备前吹扫和后吹扫功能、空气压力保护、燃气泄漏检测装置、火焰监测系统、高效点火系统保证安全。</w:t>
            </w:r>
          </w:p>
          <w:p w14:paraId="358E6EE0">
            <w:pPr>
              <w:jc w:val="left"/>
              <w:rPr>
                <w:rFonts w:hint="eastAsia" w:ascii="仿宋" w:hAnsi="仿宋" w:eastAsia="仿宋" w:cs="仿宋"/>
                <w:sz w:val="28"/>
                <w:szCs w:val="36"/>
                <w:vertAlign w:val="baseline"/>
              </w:rPr>
            </w:pPr>
            <w:r>
              <w:rPr>
                <w:rFonts w:hint="eastAsia" w:ascii="仿宋" w:hAnsi="仿宋" w:eastAsia="仿宋" w:cs="仿宋"/>
                <w:b w:val="0"/>
                <w:bCs/>
                <w:sz w:val="21"/>
                <w:szCs w:val="21"/>
                <w:lang w:val="en-US" w:eastAsia="zh-CN"/>
              </w:rPr>
              <w:t>3.燃烧器及燃烧系统符合《燃油（气）燃烧器安全技术规则》和《锅炉安全技术监察规程》的规定。</w:t>
            </w:r>
          </w:p>
        </w:tc>
        <w:tc>
          <w:tcPr>
            <w:tcW w:w="2468" w:type="dxa"/>
          </w:tcPr>
          <w:p w14:paraId="3B83A0C5">
            <w:pPr>
              <w:jc w:val="left"/>
              <w:rPr>
                <w:rFonts w:hint="eastAsia" w:ascii="仿宋" w:hAnsi="仿宋" w:eastAsia="仿宋" w:cs="仿宋"/>
                <w:sz w:val="28"/>
                <w:szCs w:val="36"/>
                <w:vertAlign w:val="baseline"/>
              </w:rPr>
            </w:pPr>
          </w:p>
        </w:tc>
        <w:tc>
          <w:tcPr>
            <w:tcW w:w="2488" w:type="dxa"/>
          </w:tcPr>
          <w:p w14:paraId="0F2CFB3D">
            <w:pPr>
              <w:jc w:val="left"/>
              <w:rPr>
                <w:rFonts w:hint="eastAsia" w:ascii="仿宋" w:hAnsi="仿宋" w:eastAsia="仿宋" w:cs="仿宋"/>
                <w:sz w:val="28"/>
                <w:szCs w:val="36"/>
                <w:vertAlign w:val="baseline"/>
              </w:rPr>
            </w:pPr>
          </w:p>
        </w:tc>
      </w:tr>
      <w:tr w14:paraId="2E5E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tcPr>
          <w:p w14:paraId="5BEBECB2">
            <w:pPr>
              <w:jc w:val="left"/>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val="en-US" w:eastAsia="zh-CN"/>
              </w:rPr>
              <w:t>5</w:t>
            </w:r>
          </w:p>
        </w:tc>
        <w:tc>
          <w:tcPr>
            <w:tcW w:w="2496" w:type="dxa"/>
          </w:tcPr>
          <w:p w14:paraId="5EF71C0F">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四、配套服务</w:t>
            </w:r>
          </w:p>
          <w:p w14:paraId="5B7946E5">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1.供应商需按施工前、施工中、施工后三阶段全程办理锅炉低氮改造项目相关手续。</w:t>
            </w:r>
          </w:p>
          <w:p w14:paraId="4D6F0DD8">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2.项目施工完成后供应商委托具有相关资质的第三方检测机构进行相关检测并出具合格报告</w:t>
            </w:r>
            <w:r>
              <w:rPr>
                <w:rFonts w:hint="eastAsia" w:ascii="仿宋" w:hAnsi="仿宋" w:eastAsia="仿宋" w:cs="仿宋"/>
                <w:b w:val="0"/>
                <w:bCs w:val="0"/>
                <w:color w:val="auto"/>
                <w:sz w:val="21"/>
                <w:szCs w:val="21"/>
                <w:highlight w:val="none"/>
                <w:lang w:eastAsia="zh-CN"/>
              </w:rPr>
              <w:t>，取得环保部门验收</w:t>
            </w:r>
            <w:r>
              <w:rPr>
                <w:rFonts w:hint="eastAsia" w:ascii="仿宋" w:hAnsi="仿宋" w:eastAsia="仿宋" w:cs="仿宋"/>
                <w:b w:val="0"/>
                <w:bCs w:val="0"/>
                <w:color w:val="auto"/>
                <w:sz w:val="21"/>
                <w:szCs w:val="21"/>
                <w:highlight w:val="none"/>
                <w:lang w:val="en-US" w:eastAsia="zh-CN"/>
              </w:rPr>
              <w:t>。</w:t>
            </w:r>
          </w:p>
          <w:p w14:paraId="38B0B731">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3.项目施工完成后出具项目验收报告并配合</w:t>
            </w:r>
            <w:r>
              <w:rPr>
                <w:rFonts w:hint="eastAsia" w:ascii="仿宋" w:hAnsi="仿宋" w:eastAsia="仿宋" w:cs="仿宋"/>
                <w:b w:val="0"/>
                <w:bCs w:val="0"/>
                <w:color w:val="auto"/>
                <w:sz w:val="21"/>
                <w:szCs w:val="21"/>
                <w:highlight w:val="none"/>
                <w:lang w:eastAsia="zh-CN"/>
              </w:rPr>
              <w:t>采购人</w:t>
            </w:r>
            <w:r>
              <w:rPr>
                <w:rFonts w:hint="eastAsia" w:ascii="仿宋" w:hAnsi="仿宋" w:eastAsia="仿宋" w:cs="仿宋"/>
                <w:b w:val="0"/>
                <w:bCs w:val="0"/>
                <w:color w:val="auto"/>
                <w:sz w:val="21"/>
                <w:szCs w:val="21"/>
                <w:highlight w:val="none"/>
                <w:lang w:val="en-US" w:eastAsia="zh-CN"/>
              </w:rPr>
              <w:t>完成相关部门项目验收工作。</w:t>
            </w:r>
          </w:p>
          <w:p w14:paraId="10CB55DD">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4.供应商需配合并主动联系属地相关政府部门，办理锅炉低氮改造后的申请政府奖励补贴资金等相关事宜。</w:t>
            </w:r>
          </w:p>
          <w:p w14:paraId="1206EA8F">
            <w:pPr>
              <w:jc w:val="left"/>
              <w:rPr>
                <w:rFonts w:hint="eastAsia" w:ascii="仿宋" w:hAnsi="仿宋" w:eastAsia="仿宋" w:cs="仿宋"/>
                <w:sz w:val="28"/>
                <w:szCs w:val="36"/>
                <w:vertAlign w:val="baseline"/>
              </w:rPr>
            </w:pPr>
            <w:r>
              <w:rPr>
                <w:rFonts w:hint="eastAsia" w:ascii="仿宋" w:hAnsi="仿宋" w:eastAsia="仿宋" w:cs="仿宋"/>
                <w:b w:val="0"/>
                <w:bCs w:val="0"/>
                <w:color w:val="auto"/>
                <w:sz w:val="21"/>
                <w:szCs w:val="21"/>
                <w:highlight w:val="none"/>
                <w:lang w:val="en-US" w:eastAsia="zh-CN"/>
              </w:rPr>
              <w:t>5.供应商应在项目验收合格后向</w:t>
            </w:r>
            <w:r>
              <w:rPr>
                <w:rFonts w:hint="eastAsia" w:ascii="仿宋" w:hAnsi="仿宋" w:eastAsia="仿宋" w:cs="仿宋"/>
                <w:b w:val="0"/>
                <w:bCs w:val="0"/>
                <w:color w:val="auto"/>
                <w:sz w:val="21"/>
                <w:szCs w:val="21"/>
                <w:highlight w:val="none"/>
                <w:lang w:eastAsia="zh-CN"/>
              </w:rPr>
              <w:t>采购</w:t>
            </w:r>
            <w:r>
              <w:rPr>
                <w:rFonts w:hint="eastAsia" w:ascii="仿宋" w:hAnsi="仿宋" w:eastAsia="仿宋" w:cs="仿宋"/>
                <w:b w:val="0"/>
                <w:bCs w:val="0"/>
                <w:color w:val="auto"/>
                <w:sz w:val="21"/>
                <w:szCs w:val="21"/>
                <w:highlight w:val="none"/>
                <w:lang w:val="en-US" w:eastAsia="zh-CN"/>
              </w:rPr>
              <w:t>人提供完整的技术资料（包括设备说明书、电路图、安装图、操作规程、维护手册等），并对</w:t>
            </w:r>
            <w:r>
              <w:rPr>
                <w:rFonts w:hint="eastAsia" w:ascii="仿宋" w:hAnsi="仿宋" w:eastAsia="仿宋" w:cs="仿宋"/>
                <w:b w:val="0"/>
                <w:bCs w:val="0"/>
                <w:color w:val="auto"/>
                <w:sz w:val="21"/>
                <w:szCs w:val="21"/>
                <w:highlight w:val="none"/>
                <w:lang w:eastAsia="zh-CN"/>
              </w:rPr>
              <w:t>采购</w:t>
            </w:r>
            <w:r>
              <w:rPr>
                <w:rFonts w:hint="eastAsia" w:ascii="仿宋" w:hAnsi="仿宋" w:eastAsia="仿宋" w:cs="仿宋"/>
                <w:b w:val="0"/>
                <w:bCs w:val="0"/>
                <w:color w:val="auto"/>
                <w:sz w:val="21"/>
                <w:szCs w:val="21"/>
                <w:highlight w:val="none"/>
                <w:lang w:val="en-US" w:eastAsia="zh-CN"/>
              </w:rPr>
              <w:t>人操作人员进行免费技术培训，确保操作人员能熟练掌握设备的操作、维护及故障处理技能。</w:t>
            </w:r>
          </w:p>
        </w:tc>
        <w:tc>
          <w:tcPr>
            <w:tcW w:w="2468" w:type="dxa"/>
          </w:tcPr>
          <w:p w14:paraId="50877AE9">
            <w:pPr>
              <w:jc w:val="left"/>
              <w:rPr>
                <w:rFonts w:hint="eastAsia" w:ascii="仿宋" w:hAnsi="仿宋" w:eastAsia="仿宋" w:cs="仿宋"/>
                <w:sz w:val="28"/>
                <w:szCs w:val="36"/>
                <w:vertAlign w:val="baseline"/>
              </w:rPr>
            </w:pPr>
          </w:p>
        </w:tc>
        <w:tc>
          <w:tcPr>
            <w:tcW w:w="2488" w:type="dxa"/>
          </w:tcPr>
          <w:p w14:paraId="1DE792A2">
            <w:pPr>
              <w:jc w:val="left"/>
              <w:rPr>
                <w:rFonts w:hint="eastAsia" w:ascii="仿宋" w:hAnsi="仿宋" w:eastAsia="仿宋" w:cs="仿宋"/>
                <w:sz w:val="28"/>
                <w:szCs w:val="36"/>
                <w:vertAlign w:val="baseline"/>
              </w:rPr>
            </w:pPr>
          </w:p>
        </w:tc>
      </w:tr>
      <w:tr w14:paraId="69C39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tcPr>
          <w:p w14:paraId="1EAEBECE">
            <w:pPr>
              <w:jc w:val="left"/>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val="en-US" w:eastAsia="zh-CN"/>
              </w:rPr>
              <w:t>6</w:t>
            </w:r>
          </w:p>
        </w:tc>
        <w:tc>
          <w:tcPr>
            <w:tcW w:w="2496" w:type="dxa"/>
          </w:tcPr>
          <w:p w14:paraId="01BE38AA">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五、施工要求</w:t>
            </w:r>
          </w:p>
          <w:p w14:paraId="110F0FE5">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在施工期间，成交供应商必须注意院内人员安全，并配备安全员一名加强安全措施，并对施工人员进行安全教育。施工人员必须持证上岗。因采购人工作的特殊性，要求成交供应商在施工中做到封闭性施工，保证安全文明施工。</w:t>
            </w:r>
          </w:p>
          <w:p w14:paraId="1E6DDAD4">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2.成交供应商应当保证所供材料的来源渠道正常，工程实施完全符合合同规定的技术、方案、质量、规格、材质等要求，并在质保期内、外对由于材料或施工的缺陷而产生的质量问题负责。</w:t>
            </w:r>
          </w:p>
          <w:p w14:paraId="2C179F1C">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3.做到文明施工，与医院做好协调工作。合理安排作业时间，合理降低噪音污染、粉尘污染，确保施工现场周围人员和病人的正常的工作与休息，按国家有关施工时间规定进行施工，施工中避免给他人带来干扰。</w:t>
            </w:r>
          </w:p>
          <w:p w14:paraId="07084128">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4.根据实际需要，供应商应在工程施工实施期间进行巡查，若出现质量问题，供应商应免费对工程出现的问题进行维修。</w:t>
            </w:r>
          </w:p>
          <w:p w14:paraId="70483F66">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5.成交供应商应完成施工所需设备、材料的供应、运输至采购人指定地点，并按照国家相关规范交付采购人验收合格。</w:t>
            </w:r>
          </w:p>
          <w:p w14:paraId="657AA7B6">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6.在质保期内，如果发现工程质量及工程材料规格、材质等存在与合同有任何一项不符，采购人可在七个工作日内，以书面形式向成交供应商提出索赔。</w:t>
            </w:r>
          </w:p>
          <w:p w14:paraId="770565D4">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7.成交供应商负责办理建筑垃圾外运有关手续并承担所有费用。</w:t>
            </w:r>
          </w:p>
          <w:p w14:paraId="4F525089">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8.成交供应商应切实加强施工安全管理，如因措施不力造成人员伤亡或财产损失等一切事故，成交供应商负全责并承担所有费用。</w:t>
            </w:r>
          </w:p>
          <w:p w14:paraId="3D6A2354">
            <w:pPr>
              <w:jc w:val="left"/>
              <w:rPr>
                <w:rFonts w:hint="eastAsia" w:ascii="仿宋" w:hAnsi="仿宋" w:eastAsia="仿宋" w:cs="仿宋"/>
                <w:sz w:val="28"/>
                <w:szCs w:val="36"/>
                <w:vertAlign w:val="baseline"/>
              </w:rPr>
            </w:pPr>
            <w:r>
              <w:rPr>
                <w:rFonts w:hint="eastAsia" w:ascii="仿宋" w:hAnsi="仿宋" w:eastAsia="仿宋" w:cs="仿宋"/>
                <w:b w:val="0"/>
                <w:bCs w:val="0"/>
                <w:color w:val="auto"/>
                <w:sz w:val="21"/>
                <w:szCs w:val="21"/>
                <w:highlight w:val="none"/>
                <w:lang w:val="en-US" w:eastAsia="zh-CN"/>
              </w:rPr>
              <w:t>9.成交供应商在施工中妥善处理好各方关系，如有纠纷自行解决，并承担由此产生的法律责任及费用。</w:t>
            </w:r>
          </w:p>
        </w:tc>
        <w:tc>
          <w:tcPr>
            <w:tcW w:w="2468" w:type="dxa"/>
          </w:tcPr>
          <w:p w14:paraId="19FBBA63">
            <w:pPr>
              <w:jc w:val="left"/>
              <w:rPr>
                <w:rFonts w:hint="eastAsia" w:ascii="仿宋" w:hAnsi="仿宋" w:eastAsia="仿宋" w:cs="仿宋"/>
                <w:sz w:val="28"/>
                <w:szCs w:val="36"/>
                <w:vertAlign w:val="baseline"/>
              </w:rPr>
            </w:pPr>
          </w:p>
        </w:tc>
        <w:tc>
          <w:tcPr>
            <w:tcW w:w="2488" w:type="dxa"/>
          </w:tcPr>
          <w:p w14:paraId="7E0119A2">
            <w:pPr>
              <w:jc w:val="left"/>
              <w:rPr>
                <w:rFonts w:hint="eastAsia" w:ascii="仿宋" w:hAnsi="仿宋" w:eastAsia="仿宋" w:cs="仿宋"/>
                <w:sz w:val="28"/>
                <w:szCs w:val="36"/>
                <w:vertAlign w:val="baseline"/>
              </w:rPr>
            </w:pPr>
          </w:p>
        </w:tc>
      </w:tr>
      <w:tr w14:paraId="17942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tcPr>
          <w:p w14:paraId="020C8B8F">
            <w:pPr>
              <w:jc w:val="left"/>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val="en-US" w:eastAsia="zh-CN"/>
              </w:rPr>
              <w:t>7</w:t>
            </w:r>
          </w:p>
        </w:tc>
        <w:tc>
          <w:tcPr>
            <w:tcW w:w="2496" w:type="dxa"/>
          </w:tcPr>
          <w:p w14:paraId="241F0923">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sz w:val="24"/>
                <w:szCs w:val="24"/>
              </w:rPr>
            </w:pPr>
            <w:r>
              <w:rPr>
                <w:rFonts w:hint="eastAsia" w:ascii="仿宋" w:hAnsi="仿宋" w:eastAsia="仿宋" w:cs="仿宋"/>
                <w:b/>
                <w:sz w:val="24"/>
                <w:szCs w:val="24"/>
                <w:lang w:eastAsia="zh-CN"/>
              </w:rPr>
              <w:t>六、</w:t>
            </w:r>
            <w:r>
              <w:rPr>
                <w:rFonts w:hint="eastAsia" w:ascii="仿宋" w:hAnsi="仿宋" w:eastAsia="仿宋" w:cs="仿宋"/>
                <w:b/>
                <w:sz w:val="24"/>
                <w:szCs w:val="24"/>
              </w:rPr>
              <w:t>质量</w:t>
            </w:r>
          </w:p>
          <w:p w14:paraId="6EE1FBA6">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1.工程质量必须符合</w:t>
            </w:r>
            <w:r>
              <w:rPr>
                <w:rFonts w:hint="eastAsia" w:ascii="仿宋" w:hAnsi="仿宋" w:eastAsia="仿宋" w:cs="仿宋"/>
                <w:b w:val="0"/>
                <w:bCs w:val="0"/>
                <w:color w:val="auto"/>
                <w:sz w:val="21"/>
                <w:szCs w:val="21"/>
                <w:highlight w:val="none"/>
                <w:lang w:eastAsia="zh-CN"/>
              </w:rPr>
              <w:t>采购文件</w:t>
            </w:r>
            <w:r>
              <w:rPr>
                <w:rFonts w:hint="eastAsia" w:ascii="仿宋" w:hAnsi="仿宋" w:eastAsia="仿宋" w:cs="仿宋"/>
                <w:b w:val="0"/>
                <w:bCs w:val="0"/>
                <w:color w:val="auto"/>
                <w:sz w:val="21"/>
                <w:szCs w:val="21"/>
                <w:highlight w:val="none"/>
                <w:lang w:val="en-US" w:eastAsia="zh-CN"/>
              </w:rPr>
              <w:t>规定的质量标准及国家相关规范，若工程质量不合格，投标人应免费整改，直至验收合格，由此造成的工期延误及费用增加由投标人承担。</w:t>
            </w:r>
          </w:p>
          <w:p w14:paraId="0356D9C1">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2.质量保修期自工程竣工验收合格之日起计算，两年。</w:t>
            </w:r>
          </w:p>
          <w:p w14:paraId="32752C27">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3.属于保修范围、内容的项目，供应商应当在接到通知之日起1天内派人保修。供应商不在约定期限内派人保修的，发包人可以委托他人修理，修理费用从合同余款内扣除。</w:t>
            </w:r>
          </w:p>
          <w:p w14:paraId="5469F09A">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4.发生紧急抢修事故的，供应商在接到事故通知后，应当立即到达事故现场抢修。</w:t>
            </w:r>
          </w:p>
          <w:p w14:paraId="732B120B">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对于涉及结构安全的质量问题，应当按照《房屋建筑工程质量保修办法》《特种设备安全监察条例》（国务院令第549号）和《特种设备安全监督检查办法》的规定，立即向当地主管部门报告，采取安全防范措施；由原设计单位或者有相应资质等级的设计单位提出保修方案，供应商实施保修。</w:t>
            </w:r>
          </w:p>
          <w:p w14:paraId="64552B6A">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6.质量保修完成后，由</w:t>
            </w:r>
            <w:r>
              <w:rPr>
                <w:rFonts w:hint="eastAsia" w:ascii="仿宋" w:hAnsi="仿宋" w:eastAsia="仿宋" w:cs="仿宋"/>
                <w:b w:val="0"/>
                <w:bCs w:val="0"/>
                <w:color w:val="auto"/>
                <w:sz w:val="21"/>
                <w:szCs w:val="21"/>
                <w:highlight w:val="none"/>
                <w:lang w:eastAsia="zh-CN"/>
              </w:rPr>
              <w:t>采购</w:t>
            </w:r>
            <w:r>
              <w:rPr>
                <w:rFonts w:hint="eastAsia" w:ascii="仿宋" w:hAnsi="仿宋" w:eastAsia="仿宋" w:cs="仿宋"/>
                <w:b w:val="0"/>
                <w:bCs w:val="0"/>
                <w:color w:val="auto"/>
                <w:sz w:val="21"/>
                <w:szCs w:val="21"/>
                <w:highlight w:val="none"/>
                <w:lang w:val="en-US" w:eastAsia="zh-CN"/>
              </w:rPr>
              <w:t>人组织验收。</w:t>
            </w:r>
          </w:p>
          <w:p w14:paraId="4C17A12C">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7.保修费用由造成质量缺陷的责任方承担。</w:t>
            </w:r>
          </w:p>
          <w:p w14:paraId="05B5755B">
            <w:pPr>
              <w:jc w:val="left"/>
              <w:rPr>
                <w:rFonts w:hint="eastAsia" w:ascii="仿宋" w:hAnsi="仿宋" w:eastAsia="仿宋" w:cs="仿宋"/>
                <w:sz w:val="28"/>
                <w:szCs w:val="36"/>
                <w:vertAlign w:val="baseline"/>
              </w:rPr>
            </w:pPr>
            <w:r>
              <w:rPr>
                <w:rFonts w:hint="eastAsia" w:ascii="仿宋" w:hAnsi="仿宋" w:eastAsia="仿宋" w:cs="仿宋"/>
                <w:b w:val="0"/>
                <w:bCs w:val="0"/>
                <w:color w:val="auto"/>
                <w:sz w:val="21"/>
                <w:szCs w:val="21"/>
                <w:highlight w:val="none"/>
                <w:lang w:val="en-US" w:eastAsia="zh-CN"/>
              </w:rPr>
              <w:t>8.按照合同付款及决算相关要求，在工程竣工验收合格后2年后，在无索赔争议的情况下，由</w:t>
            </w:r>
            <w:r>
              <w:rPr>
                <w:rFonts w:hint="eastAsia" w:ascii="仿宋" w:hAnsi="仿宋" w:eastAsia="仿宋" w:cs="仿宋"/>
                <w:b w:val="0"/>
                <w:bCs w:val="0"/>
                <w:color w:val="auto"/>
                <w:sz w:val="21"/>
                <w:szCs w:val="21"/>
                <w:highlight w:val="none"/>
                <w:lang w:eastAsia="zh-CN"/>
              </w:rPr>
              <w:t>采购</w:t>
            </w:r>
            <w:r>
              <w:rPr>
                <w:rFonts w:hint="eastAsia" w:ascii="仿宋" w:hAnsi="仿宋" w:eastAsia="仿宋" w:cs="仿宋"/>
                <w:b w:val="0"/>
                <w:bCs w:val="0"/>
                <w:color w:val="auto"/>
                <w:sz w:val="21"/>
                <w:szCs w:val="21"/>
                <w:highlight w:val="none"/>
                <w:lang w:val="en-US" w:eastAsia="zh-CN"/>
              </w:rPr>
              <w:t>人组织、供应商参与共同对工程质保情况现场核验，核验无问题后，供应商在</w:t>
            </w:r>
            <w:r>
              <w:rPr>
                <w:rFonts w:hint="eastAsia" w:ascii="仿宋" w:hAnsi="仿宋" w:eastAsia="仿宋" w:cs="仿宋"/>
                <w:b w:val="0"/>
                <w:bCs w:val="0"/>
                <w:color w:val="auto"/>
                <w:sz w:val="21"/>
                <w:szCs w:val="21"/>
                <w:highlight w:val="none"/>
                <w:lang w:eastAsia="zh-CN"/>
              </w:rPr>
              <w:t>采购人</w:t>
            </w:r>
            <w:r>
              <w:rPr>
                <w:rFonts w:hint="eastAsia" w:ascii="仿宋" w:hAnsi="仿宋" w:eastAsia="仿宋" w:cs="仿宋"/>
                <w:b w:val="0"/>
                <w:bCs w:val="0"/>
                <w:color w:val="auto"/>
                <w:sz w:val="21"/>
                <w:szCs w:val="21"/>
                <w:highlight w:val="none"/>
                <w:lang w:val="en-US" w:eastAsia="zh-CN"/>
              </w:rPr>
              <w:t>处办理相关支付手续。</w:t>
            </w:r>
          </w:p>
        </w:tc>
        <w:tc>
          <w:tcPr>
            <w:tcW w:w="2468" w:type="dxa"/>
          </w:tcPr>
          <w:p w14:paraId="4429709D">
            <w:pPr>
              <w:jc w:val="left"/>
              <w:rPr>
                <w:rFonts w:hint="eastAsia" w:ascii="仿宋" w:hAnsi="仿宋" w:eastAsia="仿宋" w:cs="仿宋"/>
                <w:sz w:val="28"/>
                <w:szCs w:val="36"/>
                <w:vertAlign w:val="baseline"/>
              </w:rPr>
            </w:pPr>
          </w:p>
        </w:tc>
        <w:tc>
          <w:tcPr>
            <w:tcW w:w="2488" w:type="dxa"/>
          </w:tcPr>
          <w:p w14:paraId="304706DA">
            <w:pPr>
              <w:jc w:val="left"/>
              <w:rPr>
                <w:rFonts w:hint="eastAsia" w:ascii="仿宋" w:hAnsi="仿宋" w:eastAsia="仿宋" w:cs="仿宋"/>
                <w:sz w:val="28"/>
                <w:szCs w:val="36"/>
                <w:vertAlign w:val="baseline"/>
              </w:rPr>
            </w:pPr>
          </w:p>
        </w:tc>
      </w:tr>
      <w:tr w14:paraId="0374E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tcPr>
          <w:p w14:paraId="5B42DD1E">
            <w:pPr>
              <w:jc w:val="left"/>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val="en-US" w:eastAsia="zh-CN"/>
              </w:rPr>
              <w:t>8</w:t>
            </w:r>
          </w:p>
        </w:tc>
        <w:tc>
          <w:tcPr>
            <w:tcW w:w="2496" w:type="dxa"/>
          </w:tcPr>
          <w:p w14:paraId="48ED89AF">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sz w:val="24"/>
                <w:szCs w:val="24"/>
                <w:lang w:eastAsia="zh-CN"/>
              </w:rPr>
            </w:pPr>
            <w:r>
              <w:rPr>
                <w:rFonts w:hint="eastAsia" w:ascii="仿宋" w:hAnsi="仿宋" w:eastAsia="仿宋" w:cs="仿宋"/>
                <w:b/>
                <w:sz w:val="24"/>
                <w:szCs w:val="24"/>
                <w:lang w:eastAsia="zh-CN"/>
              </w:rPr>
              <w:t>七、其他</w:t>
            </w:r>
          </w:p>
          <w:p w14:paraId="4547EB5E">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14:paraId="6FF08A54">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2.本工程其他技术标准及要求执行现行规范和</w:t>
            </w:r>
            <w:r>
              <w:rPr>
                <w:rFonts w:hint="eastAsia" w:ascii="仿宋" w:hAnsi="仿宋" w:eastAsia="仿宋" w:cs="仿宋"/>
                <w:b w:val="0"/>
                <w:bCs w:val="0"/>
                <w:color w:val="auto"/>
                <w:sz w:val="21"/>
                <w:szCs w:val="21"/>
                <w:highlight w:val="none"/>
                <w:lang w:eastAsia="zh-CN"/>
              </w:rPr>
              <w:t>采购</w:t>
            </w:r>
            <w:r>
              <w:rPr>
                <w:rFonts w:hint="eastAsia" w:ascii="仿宋" w:hAnsi="仿宋" w:eastAsia="仿宋" w:cs="仿宋"/>
                <w:b w:val="0"/>
                <w:bCs w:val="0"/>
                <w:color w:val="auto"/>
                <w:sz w:val="21"/>
                <w:szCs w:val="21"/>
                <w:highlight w:val="none"/>
                <w:lang w:val="en-US" w:eastAsia="zh-CN"/>
              </w:rPr>
              <w:t>人实际需求。</w:t>
            </w:r>
          </w:p>
          <w:p w14:paraId="71E8DFC1">
            <w:pPr>
              <w:pStyle w:val="5"/>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3.在施工过程中，如果国家或有关部门颁布了新的技术标准或规范，则供应商应采用新的标准或规范进行施工。</w:t>
            </w:r>
          </w:p>
          <w:p w14:paraId="6440E616">
            <w:pPr>
              <w:jc w:val="left"/>
              <w:rPr>
                <w:rFonts w:hint="eastAsia" w:ascii="仿宋" w:hAnsi="仿宋" w:eastAsia="仿宋" w:cs="仿宋"/>
                <w:sz w:val="28"/>
                <w:szCs w:val="36"/>
                <w:vertAlign w:val="baseline"/>
              </w:rPr>
            </w:pPr>
            <w:r>
              <w:rPr>
                <w:rFonts w:hint="eastAsia" w:ascii="仿宋" w:hAnsi="仿宋" w:eastAsia="仿宋" w:cs="仿宋"/>
                <w:b w:val="0"/>
                <w:bCs w:val="0"/>
                <w:color w:val="auto"/>
                <w:sz w:val="21"/>
                <w:szCs w:val="21"/>
                <w:highlight w:val="none"/>
                <w:lang w:val="en-US" w:eastAsia="zh-CN"/>
              </w:rPr>
              <w:t>4.供应商应先到工地踏勘以充分了解工地位置、地质情况、进出场道路、拆迁干扰、储存空间、运输能力、装卸限制、行车干扰及任何其他足以影响承包价格的情况，了解施工规范、标准以及施工现场实际等情况，并应考虑现有人、材、机市场水平和供应、投标风险、不利的施工因素等，任何因忽视或误解工地情况而导致的索赔或工期延长申请将不获批准。</w:t>
            </w:r>
          </w:p>
        </w:tc>
        <w:tc>
          <w:tcPr>
            <w:tcW w:w="2468" w:type="dxa"/>
          </w:tcPr>
          <w:p w14:paraId="3C5AFA60">
            <w:pPr>
              <w:jc w:val="left"/>
              <w:rPr>
                <w:rFonts w:hint="eastAsia" w:ascii="仿宋" w:hAnsi="仿宋" w:eastAsia="仿宋" w:cs="仿宋"/>
                <w:sz w:val="28"/>
                <w:szCs w:val="36"/>
                <w:vertAlign w:val="baseline"/>
              </w:rPr>
            </w:pPr>
          </w:p>
        </w:tc>
        <w:tc>
          <w:tcPr>
            <w:tcW w:w="2488" w:type="dxa"/>
          </w:tcPr>
          <w:p w14:paraId="01497E62">
            <w:pPr>
              <w:jc w:val="left"/>
              <w:rPr>
                <w:rFonts w:hint="eastAsia" w:ascii="仿宋" w:hAnsi="仿宋" w:eastAsia="仿宋" w:cs="仿宋"/>
                <w:sz w:val="28"/>
                <w:szCs w:val="36"/>
                <w:vertAlign w:val="baseline"/>
              </w:rPr>
            </w:pPr>
          </w:p>
        </w:tc>
      </w:tr>
    </w:tbl>
    <w:p w14:paraId="0C95C143">
      <w:pPr>
        <w:jc w:val="left"/>
        <w:rPr>
          <w:rFonts w:hint="eastAsia" w:ascii="仿宋" w:hAnsi="仿宋" w:eastAsia="仿宋" w:cs="仿宋"/>
          <w:sz w:val="28"/>
          <w:szCs w:val="36"/>
        </w:rPr>
      </w:pPr>
      <w:r>
        <w:rPr>
          <w:rFonts w:hint="eastAsia" w:ascii="仿宋" w:hAnsi="仿宋" w:eastAsia="仿宋" w:cs="仿宋"/>
          <w:sz w:val="28"/>
          <w:szCs w:val="36"/>
        </w:rPr>
        <w:t>注：1.供应商</w:t>
      </w:r>
      <w:r>
        <w:rPr>
          <w:rFonts w:hint="eastAsia" w:ascii="仿宋" w:hAnsi="仿宋" w:eastAsia="仿宋" w:cs="仿宋"/>
          <w:sz w:val="28"/>
          <w:szCs w:val="36"/>
          <w:lang w:eastAsia="zh-CN"/>
        </w:rPr>
        <w:t>对以上内容进行响应，</w:t>
      </w:r>
      <w:r>
        <w:rPr>
          <w:rFonts w:hint="eastAsia" w:ascii="仿宋" w:hAnsi="仿宋" w:eastAsia="仿宋" w:cs="仿宋"/>
          <w:sz w:val="28"/>
          <w:szCs w:val="36"/>
        </w:rPr>
        <w:t>不得虚假陈述。</w:t>
      </w:r>
    </w:p>
    <w:p w14:paraId="5CED0875">
      <w:pPr>
        <w:ind w:firstLine="560" w:firstLineChars="200"/>
        <w:jc w:val="left"/>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2.“响应情况”列填写：响应、负偏离、正偏离。</w:t>
      </w:r>
    </w:p>
    <w:p w14:paraId="28CFC19C">
      <w:pPr>
        <w:jc w:val="left"/>
        <w:rPr>
          <w:rFonts w:hint="eastAsia" w:ascii="仿宋" w:hAnsi="仿宋" w:eastAsia="仿宋" w:cs="仿宋"/>
          <w:sz w:val="28"/>
          <w:szCs w:val="36"/>
          <w:lang w:val="en-US" w:eastAsia="zh-CN"/>
        </w:rPr>
      </w:pPr>
    </w:p>
    <w:p w14:paraId="0A879DBD">
      <w:pPr>
        <w:jc w:val="left"/>
        <w:rPr>
          <w:rFonts w:hint="eastAsia" w:ascii="仿宋" w:hAnsi="仿宋" w:eastAsia="仿宋" w:cs="仿宋"/>
          <w:sz w:val="28"/>
          <w:szCs w:val="36"/>
          <w:lang w:val="en-US" w:eastAsia="zh-CN"/>
        </w:rPr>
      </w:pPr>
    </w:p>
    <w:p w14:paraId="4732F717">
      <w:pPr>
        <w:ind w:firstLine="3360" w:firstLineChars="1200"/>
        <w:jc w:val="left"/>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供应商名称（盖章）：{请填写供应商名称}</w:t>
      </w:r>
    </w:p>
    <w:p w14:paraId="0603F1E4">
      <w:pPr>
        <w:ind w:firstLine="3360" w:firstLineChars="1200"/>
        <w:jc w:val="left"/>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31CB3"/>
    <w:rsid w:val="37F94E9F"/>
    <w:rsid w:val="388961C5"/>
    <w:rsid w:val="3B6C797D"/>
    <w:rsid w:val="45CD3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3036</Words>
  <Characters>3107</Characters>
  <Lines>0</Lines>
  <Paragraphs>0</Paragraphs>
  <TotalTime>1</TotalTime>
  <ScaleCrop>false</ScaleCrop>
  <LinksUpToDate>false</LinksUpToDate>
  <CharactersWithSpaces>3120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2025-09-08T05:58:00Z</dcterms:created>
  <dc:creator>Administrator</dc:creator>
  <cp:lastModifiedBy>Li_JF</cp:lastModifiedBy>
  <dcterms:modified xsi:type="dcterms:W3CDTF">2026-02-06T07:21:41Z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eyJoZGlkIjoiMGEyMzlhN2VhYTZmZDVjZjJjMTAyOTgwYzBjNTM2YTgiLCJ1c2VySWQiOiIxMDMxMjc4NzA5In0=</vt:lpwstr>
  </property>
  <property fmtid="{D5CDD505-2E9C-101B-9397-08002B2CF9AE}" pid="4" name="ICV">
    <vt:lpwstr>85D74252EF2140C38D1498E46D0EEB1E_12</vt:lpwstr>
  </property>
</Properties>
</file>