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34F73">
      <w:pPr>
        <w:rPr>
          <w:rFonts w:hint="eastAsia" w:ascii="仿宋" w:hAnsi="仿宋" w:eastAsia="仿宋" w:cs="仿宋"/>
          <w:b/>
          <w:bCs/>
          <w:sz w:val="24"/>
          <w:highlight w:val="none"/>
        </w:rPr>
      </w:pPr>
      <w:bookmarkStart w:id="0" w:name="_Toc351203652"/>
      <w:bookmarkStart w:id="1" w:name="_sec_729_2"/>
      <w:bookmarkStart w:id="2" w:name="_Toc368316276"/>
      <w:r>
        <w:rPr>
          <w:rFonts w:hint="eastAsia" w:ascii="仿宋" w:hAnsi="仿宋" w:eastAsia="仿宋" w:cs="仿宋"/>
          <w:b/>
          <w:bCs/>
          <w:sz w:val="24"/>
          <w:highlight w:val="none"/>
        </w:rPr>
        <w:t>甲方：西安市精神卫生中心</w:t>
      </w:r>
    </w:p>
    <w:p w14:paraId="1B16ECCB">
      <w:pPr>
        <w:pStyle w:val="3"/>
        <w:spacing w:before="78" w:line="219" w:lineRule="auto"/>
        <w:jc w:val="left"/>
        <w:rPr>
          <w:rFonts w:hint="eastAsia" w:ascii="仿宋" w:hAnsi="仿宋" w:eastAsia="仿宋" w:cs="仿宋"/>
          <w:color w:val="000000"/>
          <w:sz w:val="24"/>
          <w:highlight w:val="none"/>
        </w:rPr>
      </w:pPr>
      <w:r>
        <w:rPr>
          <w:rFonts w:hint="eastAsia" w:ascii="仿宋" w:hAnsi="仿宋" w:eastAsia="仿宋" w:cs="仿宋"/>
          <w:b/>
          <w:bCs/>
          <w:sz w:val="24"/>
          <w:highlight w:val="none"/>
        </w:rPr>
        <w:t>乙方：</w:t>
      </w:r>
    </w:p>
    <w:p w14:paraId="6EE34D6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根据《中华人民共和国民法典》、《中华人民共和国建筑法》及其他有关法律、法规规定，甲乙双方遵循平等、自愿、公平和诚实信用的原则，就</w:t>
      </w:r>
      <w:r>
        <w:rPr>
          <w:rFonts w:hint="eastAsia" w:ascii="仿宋" w:hAnsi="仿宋" w:eastAsia="仿宋" w:cs="仿宋"/>
          <w:color w:val="000000"/>
          <w:sz w:val="24"/>
          <w:highlight w:val="none"/>
          <w:lang w:eastAsia="zh-CN"/>
        </w:rPr>
        <w:t>西</w:t>
      </w:r>
      <w:r>
        <w:rPr>
          <w:rFonts w:hint="eastAsia" w:ascii="仿宋" w:hAnsi="仿宋" w:eastAsia="仿宋" w:cs="仿宋"/>
          <w:color w:val="auto"/>
          <w:sz w:val="24"/>
          <w:szCs w:val="24"/>
          <w:highlight w:val="none"/>
          <w:u w:val="single"/>
          <w:lang w:val="en-US" w:eastAsia="zh-CN"/>
        </w:rPr>
        <w:t>安市精神卫生中心锅炉低氮改造项目</w:t>
      </w:r>
      <w:r>
        <w:rPr>
          <w:rFonts w:hint="eastAsia" w:ascii="仿宋" w:hAnsi="仿宋" w:eastAsia="仿宋" w:cs="仿宋"/>
          <w:color w:val="000000"/>
          <w:sz w:val="24"/>
          <w:highlight w:val="none"/>
        </w:rPr>
        <w:t>相关事宜，经协商一致，签订本合同。</w:t>
      </w:r>
    </w:p>
    <w:p w14:paraId="7E7D5032">
      <w:pPr>
        <w:pStyle w:val="4"/>
        <w:numPr>
          <w:ilvl w:val="0"/>
          <w:numId w:val="1"/>
        </w:numPr>
        <w:rPr>
          <w:rFonts w:hint="eastAsia" w:ascii="仿宋" w:hAnsi="仿宋" w:eastAsia="仿宋" w:cs="仿宋"/>
          <w:highlight w:val="none"/>
        </w:rPr>
      </w:pPr>
      <w:bookmarkStart w:id="3" w:name="_Toc146208006"/>
      <w:r>
        <w:rPr>
          <w:rFonts w:hint="eastAsia" w:ascii="仿宋" w:hAnsi="仿宋" w:eastAsia="仿宋" w:cs="仿宋"/>
          <w:highlight w:val="none"/>
        </w:rPr>
        <w:t>工程概况</w:t>
      </w:r>
      <w:bookmarkEnd w:id="3"/>
    </w:p>
    <w:p w14:paraId="4B544826">
      <w:pPr>
        <w:pStyle w:val="10"/>
        <w:spacing w:line="400" w:lineRule="exact"/>
        <w:ind w:firstLine="48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1、工程名称：</w:t>
      </w:r>
    </w:p>
    <w:p w14:paraId="6B9AAA92">
      <w:pPr>
        <w:pStyle w:val="10"/>
        <w:spacing w:line="400" w:lineRule="exact"/>
        <w:ind w:firstLine="480"/>
        <w:rPr>
          <w:rFonts w:hint="eastAsia" w:ascii="仿宋" w:hAnsi="仿宋" w:eastAsia="仿宋" w:cs="仿宋"/>
          <w:color w:val="000000"/>
          <w:sz w:val="24"/>
          <w:highlight w:val="none"/>
        </w:rPr>
      </w:pPr>
      <w:r>
        <w:rPr>
          <w:rFonts w:hint="eastAsia" w:ascii="仿宋" w:hAnsi="仿宋" w:eastAsia="仿宋" w:cs="仿宋"/>
          <w:color w:val="auto"/>
          <w:kern w:val="2"/>
          <w:sz w:val="24"/>
          <w:szCs w:val="24"/>
          <w:highlight w:val="none"/>
          <w:lang w:val="en-US" w:eastAsia="zh-CN" w:bidi="ar-SA"/>
        </w:rPr>
        <w:t>2、工程地点：西安市精神卫生中心</w:t>
      </w:r>
    </w:p>
    <w:p w14:paraId="7F98DC0B">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3．工期：</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个日历日</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bookmarkStart w:id="28" w:name="_GoBack"/>
      <w:bookmarkEnd w:id="28"/>
      <w:r>
        <w:rPr>
          <w:rFonts w:hint="eastAsia" w:ascii="仿宋" w:hAnsi="仿宋" w:eastAsia="仿宋" w:cs="仿宋"/>
          <w:color w:val="000000"/>
          <w:sz w:val="24"/>
          <w:highlight w:val="none"/>
        </w:rPr>
        <w:t>至</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日</w:t>
      </w:r>
    </w:p>
    <w:p w14:paraId="020D023D">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（1）若因乙方原因停工或返工，导致工期延误，由乙方承担一切费用，并按照工程款的</w:t>
      </w:r>
      <w:r>
        <w:rPr>
          <w:rFonts w:hint="eastAsia" w:ascii="仿宋" w:hAnsi="仿宋" w:eastAsia="仿宋" w:cs="仿宋"/>
          <w:color w:val="auto"/>
          <w:sz w:val="24"/>
          <w:highlight w:val="none"/>
        </w:rPr>
        <w:t>10 ‰</w:t>
      </w:r>
      <w:r>
        <w:rPr>
          <w:rFonts w:hint="eastAsia" w:ascii="仿宋" w:hAnsi="仿宋" w:eastAsia="仿宋" w:cs="仿宋"/>
          <w:color w:val="000000"/>
          <w:sz w:val="24"/>
          <w:highlight w:val="none"/>
        </w:rPr>
        <w:t>每日向甲方支付违约金；</w:t>
      </w:r>
    </w:p>
    <w:p w14:paraId="5F632DD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（2）若因甲方原因或天气、政府政策等不可抗力因素导致延误，乙方作书面说明后，</w:t>
      </w:r>
      <w:r>
        <w:rPr>
          <w:rFonts w:hint="eastAsia" w:ascii="仿宋" w:hAnsi="仿宋" w:eastAsia="仿宋" w:cs="仿宋"/>
          <w:color w:val="000000"/>
          <w:sz w:val="24"/>
          <w:highlight w:val="none"/>
          <w:lang w:val="en-US" w:eastAsia="zh-CN"/>
        </w:rPr>
        <w:t>得到甲方认可后</w:t>
      </w:r>
      <w:r>
        <w:rPr>
          <w:rFonts w:hint="eastAsia" w:ascii="仿宋" w:hAnsi="仿宋" w:eastAsia="仿宋" w:cs="仿宋"/>
          <w:color w:val="000000"/>
          <w:sz w:val="24"/>
          <w:highlight w:val="none"/>
        </w:rPr>
        <w:t>合理顺延工期。</w:t>
      </w:r>
    </w:p>
    <w:p w14:paraId="55CD6F9E">
      <w:pPr>
        <w:widowControl/>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4.工程</w:t>
      </w:r>
      <w:r>
        <w:rPr>
          <w:rFonts w:hint="eastAsia" w:ascii="仿宋" w:hAnsi="仿宋" w:eastAsia="仿宋" w:cs="仿宋"/>
          <w:color w:val="auto"/>
          <w:kern w:val="0"/>
          <w:sz w:val="24"/>
          <w:highlight w:val="none"/>
        </w:rPr>
        <w:t>承包范围：本项目的</w:t>
      </w:r>
      <w:r>
        <w:rPr>
          <w:rFonts w:hint="eastAsia" w:ascii="仿宋" w:hAnsi="仿宋" w:eastAsia="仿宋" w:cs="仿宋"/>
          <w:color w:val="auto"/>
          <w:kern w:val="0"/>
          <w:sz w:val="24"/>
          <w:highlight w:val="none"/>
          <w:lang w:eastAsia="zh-CN"/>
        </w:rPr>
        <w:t>设计优化</w:t>
      </w:r>
      <w:r>
        <w:rPr>
          <w:rFonts w:hint="eastAsia" w:ascii="仿宋" w:hAnsi="仿宋" w:eastAsia="仿宋" w:cs="仿宋"/>
          <w:color w:val="auto"/>
          <w:kern w:val="0"/>
          <w:sz w:val="24"/>
          <w:highlight w:val="none"/>
        </w:rPr>
        <w:t>、施工和采购，直至竣工验收合格并整体移交、工程保修期内的缺陷修复和保修工作，同时承担相关协调工作。</w:t>
      </w:r>
    </w:p>
    <w:p w14:paraId="64A43E27">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val="en-US" w:eastAsia="zh-CN"/>
        </w:rPr>
        <w:t>5.</w:t>
      </w:r>
      <w:r>
        <w:rPr>
          <w:rFonts w:hint="eastAsia" w:ascii="仿宋" w:hAnsi="仿宋" w:eastAsia="仿宋"/>
          <w:b w:val="0"/>
          <w:bCs/>
          <w:sz w:val="24"/>
          <w:szCs w:val="24"/>
          <w:highlight w:val="none"/>
          <w:lang w:eastAsia="zh-CN"/>
        </w:rPr>
        <w:t>工程内容</w:t>
      </w:r>
    </w:p>
    <w:p w14:paraId="4590E104">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对现有三台承压燃气热水锅炉更换一体式低氮燃烧器并进行相关低氮改造。工程内容包括但不限于锅炉低氮改造项目方案的设计、设备供应、运输、安装、调试、检测、技术培训、售后服务及与改造相关的土建工程、电气改造、管道调整等全部内容。</w:t>
      </w:r>
    </w:p>
    <w:p w14:paraId="3098FE1A">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6</w:t>
      </w:r>
      <w:r>
        <w:rPr>
          <w:rFonts w:hint="eastAsia" w:ascii="仿宋" w:hAnsi="仿宋" w:eastAsia="仿宋"/>
          <w:b w:val="0"/>
          <w:bCs/>
          <w:sz w:val="24"/>
          <w:szCs w:val="24"/>
          <w:highlight w:val="none"/>
          <w:lang w:val="en-US" w:eastAsia="zh-CN"/>
        </w:rPr>
        <w:t>.</w:t>
      </w:r>
      <w:r>
        <w:rPr>
          <w:rFonts w:hint="eastAsia" w:ascii="仿宋" w:hAnsi="仿宋" w:eastAsia="仿宋"/>
          <w:b w:val="0"/>
          <w:bCs/>
          <w:sz w:val="24"/>
          <w:szCs w:val="24"/>
          <w:highlight w:val="none"/>
          <w:lang w:eastAsia="zh-CN"/>
        </w:rPr>
        <w:t>改造方案总体要求</w:t>
      </w:r>
    </w:p>
    <w:p w14:paraId="1BE612B9">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1）改造后锅炉的氮氧化物排放浓度小时值不得高于30毫克/立方米，同时一氧化碳排放浓度小时值不高于95毫克/立方米（基准氧含量3.5%）；改造后锅炉带负荷能力未出现明显下降；上述指标监测时，锅炉负荷应保持75%及以上，按热水锅炉耗气量100m³/h/MW。</w:t>
      </w:r>
    </w:p>
    <w:p w14:paraId="7960EE1A">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w:t>
      </w:r>
      <w:r>
        <w:rPr>
          <w:rFonts w:hint="eastAsia" w:ascii="仿宋" w:hAnsi="仿宋" w:eastAsia="仿宋"/>
          <w:b w:val="0"/>
          <w:bCs/>
          <w:sz w:val="24"/>
          <w:szCs w:val="24"/>
          <w:highlight w:val="none"/>
          <w:lang w:val="en-US" w:eastAsia="zh-CN"/>
        </w:rPr>
        <w:t>2）</w:t>
      </w:r>
      <w:r>
        <w:rPr>
          <w:rFonts w:hint="eastAsia" w:ascii="仿宋" w:hAnsi="仿宋" w:eastAsia="仿宋"/>
          <w:b w:val="0"/>
          <w:bCs/>
          <w:sz w:val="24"/>
          <w:szCs w:val="24"/>
          <w:highlight w:val="none"/>
          <w:lang w:eastAsia="zh-CN"/>
        </w:rPr>
        <w:t>改造后锅炉原有主要性能参数未出现明显下降。</w:t>
      </w:r>
    </w:p>
    <w:p w14:paraId="451F457D">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val="en-US" w:eastAsia="zh-CN"/>
        </w:rPr>
        <w:t>（3）</w:t>
      </w:r>
      <w:r>
        <w:rPr>
          <w:rFonts w:hint="eastAsia" w:ascii="仿宋" w:hAnsi="仿宋" w:eastAsia="仿宋"/>
          <w:b w:val="0"/>
          <w:bCs/>
          <w:sz w:val="24"/>
          <w:szCs w:val="24"/>
          <w:highlight w:val="none"/>
          <w:lang w:eastAsia="zh-CN"/>
        </w:rPr>
        <w:t>改造方案需遵循现有设备布局及燃气管道不改动的核心原则，锅炉整体结构不变，在管路安装改造环节充分贴合现场既有布置，燃烧器选型则需严格匹配现有燃气管道的规格与走向，确保所有改造工作不影响锅炉的安全性、可靠性和使用周期。</w:t>
      </w:r>
    </w:p>
    <w:p w14:paraId="484B5107">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w:t>
      </w:r>
      <w:r>
        <w:rPr>
          <w:rFonts w:hint="eastAsia" w:ascii="仿宋" w:hAnsi="仿宋" w:eastAsia="仿宋"/>
          <w:b w:val="0"/>
          <w:bCs/>
          <w:sz w:val="24"/>
          <w:szCs w:val="24"/>
          <w:highlight w:val="none"/>
          <w:lang w:val="en-US" w:eastAsia="zh-CN"/>
        </w:rPr>
        <w:t>4）</w:t>
      </w:r>
      <w:r>
        <w:rPr>
          <w:rFonts w:hint="eastAsia" w:ascii="仿宋" w:hAnsi="仿宋" w:eastAsia="仿宋"/>
          <w:b w:val="0"/>
          <w:bCs/>
          <w:sz w:val="24"/>
          <w:szCs w:val="24"/>
          <w:highlight w:val="none"/>
          <w:lang w:eastAsia="zh-CN"/>
        </w:rPr>
        <w:t>所采用的低氮燃烧器及相关设备必须是符合国家相关标准的合格产品，具有产品合格证、检测报告等证明文件，且技术成熟、运行稳定、能耗低、维护方便。</w:t>
      </w:r>
    </w:p>
    <w:p w14:paraId="3B07B52E">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 xml:space="preserve"> </w:t>
      </w:r>
      <w:r>
        <w:rPr>
          <w:rFonts w:hint="eastAsia" w:ascii="仿宋" w:hAnsi="仿宋" w:eastAsia="仿宋"/>
          <w:b w:val="0"/>
          <w:bCs/>
          <w:sz w:val="24"/>
          <w:szCs w:val="24"/>
          <w:highlight w:val="none"/>
          <w:lang w:val="en-US" w:eastAsia="zh-CN"/>
        </w:rPr>
        <w:t xml:space="preserve">   （5）</w:t>
      </w:r>
      <w:r>
        <w:rPr>
          <w:rFonts w:hint="eastAsia" w:ascii="仿宋" w:hAnsi="仿宋" w:eastAsia="仿宋"/>
          <w:b w:val="0"/>
          <w:bCs/>
          <w:sz w:val="24"/>
          <w:szCs w:val="24"/>
          <w:highlight w:val="none"/>
          <w:lang w:eastAsia="zh-CN"/>
        </w:rPr>
        <w:t>改造方案应结合原锅炉结构及运行工况进行优化设计，确保改造后的锅炉运行安全可靠，操作便捷。</w:t>
      </w:r>
    </w:p>
    <w:p w14:paraId="1D8BD6EF">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 xml:space="preserve"> </w:t>
      </w:r>
      <w:r>
        <w:rPr>
          <w:rFonts w:hint="eastAsia" w:ascii="仿宋" w:hAnsi="仿宋" w:eastAsia="仿宋"/>
          <w:b w:val="0"/>
          <w:bCs/>
          <w:sz w:val="24"/>
          <w:szCs w:val="24"/>
          <w:highlight w:val="none"/>
          <w:lang w:val="en-US" w:eastAsia="zh-CN"/>
        </w:rPr>
        <w:t xml:space="preserve">   （6）</w:t>
      </w:r>
      <w:r>
        <w:rPr>
          <w:rFonts w:hint="eastAsia" w:ascii="仿宋" w:hAnsi="仿宋" w:eastAsia="仿宋"/>
          <w:b w:val="0"/>
          <w:bCs/>
          <w:sz w:val="24"/>
          <w:szCs w:val="24"/>
          <w:highlight w:val="none"/>
          <w:lang w:eastAsia="zh-CN"/>
        </w:rPr>
        <w:t>改造后的燃烧器及燃烧系统符合《燃油（气）燃烧器安全技术规则》和《锅炉安全技术监察规程》的规定。</w:t>
      </w:r>
    </w:p>
    <w:p w14:paraId="5F7ED7C4">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 xml:space="preserve"> </w:t>
      </w:r>
      <w:r>
        <w:rPr>
          <w:rFonts w:hint="eastAsia" w:ascii="仿宋" w:hAnsi="仿宋" w:eastAsia="仿宋"/>
          <w:b w:val="0"/>
          <w:bCs/>
          <w:sz w:val="24"/>
          <w:szCs w:val="24"/>
          <w:highlight w:val="none"/>
          <w:lang w:val="en-US" w:eastAsia="zh-CN"/>
        </w:rPr>
        <w:t xml:space="preserve">   （7）</w:t>
      </w:r>
      <w:r>
        <w:rPr>
          <w:rFonts w:hint="eastAsia" w:ascii="仿宋" w:hAnsi="仿宋" w:eastAsia="仿宋"/>
          <w:b w:val="0"/>
          <w:bCs/>
          <w:sz w:val="24"/>
          <w:szCs w:val="24"/>
          <w:highlight w:val="none"/>
          <w:lang w:eastAsia="zh-CN"/>
        </w:rPr>
        <w:t>提供燃烧器制造商向燃烧器更换、改造和调试单位出具的授权证明（改造单位为非燃烧器制造商时提供）。</w:t>
      </w:r>
    </w:p>
    <w:p w14:paraId="487359DD">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 xml:space="preserve"> </w:t>
      </w:r>
      <w:r>
        <w:rPr>
          <w:rFonts w:hint="eastAsia" w:ascii="仿宋" w:hAnsi="仿宋" w:eastAsia="仿宋"/>
          <w:b w:val="0"/>
          <w:bCs/>
          <w:sz w:val="24"/>
          <w:szCs w:val="24"/>
          <w:highlight w:val="none"/>
          <w:lang w:val="en-US" w:eastAsia="zh-CN"/>
        </w:rPr>
        <w:t xml:space="preserve">   （8）</w:t>
      </w:r>
      <w:r>
        <w:rPr>
          <w:rFonts w:hint="eastAsia" w:ascii="仿宋" w:hAnsi="仿宋" w:eastAsia="仿宋"/>
          <w:b w:val="0"/>
          <w:bCs/>
          <w:sz w:val="24"/>
          <w:szCs w:val="24"/>
          <w:highlight w:val="none"/>
          <w:lang w:eastAsia="zh-CN"/>
        </w:rPr>
        <w:t>提供改造后锅炉的排放水平监测报告，燃气锅炉节能、安全检验报告。</w:t>
      </w:r>
    </w:p>
    <w:p w14:paraId="1A83D259">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default" w:ascii="仿宋" w:hAnsi="仿宋" w:eastAsia="仿宋"/>
          <w:b w:val="0"/>
          <w:bCs/>
          <w:color w:val="FF0000"/>
          <w:sz w:val="24"/>
          <w:szCs w:val="24"/>
          <w:highlight w:val="none"/>
          <w:lang w:val="en-US" w:eastAsia="zh-CN"/>
        </w:rPr>
      </w:pPr>
      <w:r>
        <w:rPr>
          <w:rFonts w:hint="eastAsia" w:ascii="仿宋" w:hAnsi="仿宋" w:eastAsia="仿宋"/>
          <w:b w:val="0"/>
          <w:bCs/>
          <w:color w:val="FF0000"/>
          <w:sz w:val="24"/>
          <w:szCs w:val="24"/>
          <w:highlight w:val="none"/>
          <w:lang w:val="en-US" w:eastAsia="zh-CN"/>
        </w:rPr>
        <w:t xml:space="preserve">    （9）需将锅炉本体及配套控制柜原有各类检测、显示、控制仪表更换为适配改造方案的新型仪表，仪表需与改造后控制系统、低氮燃烧器系统兼容联动，满足精度及规范要求。</w:t>
      </w:r>
    </w:p>
    <w:p w14:paraId="2AE24620">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 xml:space="preserve"> </w:t>
      </w:r>
      <w:r>
        <w:rPr>
          <w:rFonts w:hint="eastAsia" w:ascii="仿宋" w:hAnsi="仿宋" w:eastAsia="仿宋"/>
          <w:b w:val="0"/>
          <w:bCs/>
          <w:sz w:val="24"/>
          <w:szCs w:val="24"/>
          <w:highlight w:val="none"/>
          <w:lang w:val="en-US" w:eastAsia="zh-CN"/>
        </w:rPr>
        <w:t xml:space="preserve">   7.</w:t>
      </w:r>
      <w:r>
        <w:rPr>
          <w:rFonts w:hint="eastAsia" w:ascii="仿宋" w:hAnsi="仿宋" w:eastAsia="仿宋"/>
          <w:b w:val="0"/>
          <w:bCs/>
          <w:sz w:val="24"/>
          <w:szCs w:val="24"/>
          <w:highlight w:val="none"/>
          <w:lang w:eastAsia="zh-CN"/>
        </w:rPr>
        <w:t>技术要求</w:t>
      </w:r>
    </w:p>
    <w:p w14:paraId="111159E3">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1）提供燃烧器型式试验证书（正反面均需提供）。</w:t>
      </w:r>
    </w:p>
    <w:p w14:paraId="569C48F4">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2）提供燃烧器西门子、喀迈拉、蓝姆泰克或现有设备同等档次的控制系统。</w:t>
      </w:r>
    </w:p>
    <w:p w14:paraId="70FA6784">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default" w:ascii="仿宋" w:hAnsi="仿宋" w:eastAsia="仿宋"/>
          <w:b w:val="0"/>
          <w:bCs/>
          <w:sz w:val="24"/>
          <w:szCs w:val="24"/>
          <w:highlight w:val="none"/>
          <w:lang w:eastAsia="zh-CN"/>
        </w:rPr>
        <w:t>3</w:t>
      </w:r>
      <w:r>
        <w:rPr>
          <w:rFonts w:hint="eastAsia" w:ascii="仿宋" w:hAnsi="仿宋" w:eastAsia="仿宋"/>
          <w:b w:val="0"/>
          <w:bCs/>
          <w:sz w:val="24"/>
          <w:szCs w:val="24"/>
          <w:highlight w:val="none"/>
          <w:lang w:eastAsia="zh-CN"/>
        </w:rPr>
        <w:t>）燃烧器要求：</w:t>
      </w:r>
    </w:p>
    <w:p w14:paraId="333A8DB2">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（1）锅炉负荷不低于原锅炉设计；</w:t>
      </w:r>
    </w:p>
    <w:p w14:paraId="5F981BEE">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（2）氮氧化物排放标准：锅炉负荷应保持75%及以上时，氮氧化物排放浓度≤30mg/m³；</w:t>
      </w:r>
    </w:p>
    <w:p w14:paraId="4D5A623C">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（3）改造后的锅炉效率不低于原锅炉设计效率；</w:t>
      </w:r>
    </w:p>
    <w:p w14:paraId="285BF9A0">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（4）温度和压力等参数指标达到原锅炉设计效率；</w:t>
      </w:r>
    </w:p>
    <w:p w14:paraId="6DC17FAC">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（5）不改变原有锅炉安全联锁控制系统；</w:t>
      </w:r>
    </w:p>
    <w:p w14:paraId="540A244A">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（6）匹配原有控制柜，锅炉操作控制与原系统匹配；</w:t>
      </w:r>
    </w:p>
    <w:p w14:paraId="04456F67">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（7）锅炉运行条件与现场工况匹配；</w:t>
      </w:r>
    </w:p>
    <w:p w14:paraId="6D3EE40F">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（8）所采用燃烧器及附件规格不低于原规格；</w:t>
      </w:r>
    </w:p>
    <w:p w14:paraId="736974F0">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（9）天然气能耗指标不高于原锅炉指标或国家规范指标值。</w:t>
      </w:r>
    </w:p>
    <w:p w14:paraId="0F0744C9">
      <w:pPr>
        <w:pStyle w:val="11"/>
        <w:keepNext w:val="0"/>
        <w:keepLines w:val="0"/>
        <w:pageBreakBefore w:val="0"/>
        <w:kinsoku/>
        <w:wordWrap/>
        <w:overflowPunct/>
        <w:topLinePunct w:val="0"/>
        <w:autoSpaceDE/>
        <w:autoSpaceDN/>
        <w:bidi w:val="0"/>
        <w:adjustRightInd/>
        <w:snapToGrid/>
        <w:spacing w:line="360" w:lineRule="auto"/>
        <w:textAlignment w:val="auto"/>
        <w:outlineLvl w:val="2"/>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（10）菜单控制系统，操作简单直观；</w:t>
      </w:r>
    </w:p>
    <w:p w14:paraId="15A602AA">
      <w:pPr>
        <w:pStyle w:val="2"/>
        <w:jc w:val="both"/>
        <w:rPr>
          <w:rFonts w:hint="eastAsia" w:ascii="仿宋" w:hAnsi="仿宋" w:eastAsia="仿宋" w:cs="仿宋"/>
          <w:highlight w:val="none"/>
        </w:rPr>
      </w:pPr>
      <w:r>
        <w:rPr>
          <w:rFonts w:hint="eastAsia" w:ascii="仿宋" w:hAnsi="仿宋" w:eastAsia="仿宋"/>
          <w:b w:val="0"/>
          <w:bCs/>
          <w:sz w:val="24"/>
          <w:szCs w:val="24"/>
          <w:highlight w:val="none"/>
          <w:lang w:eastAsia="zh-CN"/>
        </w:rPr>
        <w:t>（11）产品维护方便，可快速取出燃烧头进行检修。</w:t>
      </w:r>
    </w:p>
    <w:p w14:paraId="2D0D1A9A">
      <w:pPr>
        <w:pStyle w:val="4"/>
        <w:rPr>
          <w:rFonts w:hint="eastAsia" w:ascii="仿宋" w:hAnsi="仿宋" w:eastAsia="仿宋" w:cs="仿宋"/>
          <w:highlight w:val="none"/>
        </w:rPr>
      </w:pPr>
      <w:bookmarkStart w:id="4" w:name="_Toc146208007"/>
      <w:r>
        <w:rPr>
          <w:rFonts w:hint="eastAsia" w:ascii="仿宋" w:hAnsi="仿宋" w:eastAsia="仿宋" w:cs="仿宋"/>
          <w:highlight w:val="none"/>
        </w:rPr>
        <w:t>二、工程价款及支付方式</w:t>
      </w:r>
      <w:bookmarkEnd w:id="4"/>
    </w:p>
    <w:p w14:paraId="5078C39B">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1．本合同为固定总价合同交钥匙工程，合同总价为：</w:t>
      </w:r>
    </w:p>
    <w:p w14:paraId="71712B4E">
      <w:pPr>
        <w:spacing w:line="360" w:lineRule="auto"/>
        <w:ind w:firstLine="840" w:firstLineChars="35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 xml:space="preserve">大写： </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2"/>
          <w:sz w:val="24"/>
          <w:szCs w:val="24"/>
          <w:highlight w:val="none"/>
          <w:u w:val="single" w:color="auto"/>
        </w:rPr>
        <w:t>(人民币)</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小写：</w:t>
      </w:r>
      <w:r>
        <w:rPr>
          <w:rFonts w:hint="eastAsia" w:ascii="仿宋" w:hAnsi="仿宋" w:eastAsia="仿宋" w:cs="仿宋"/>
          <w:spacing w:val="-2"/>
          <w:sz w:val="24"/>
          <w:szCs w:val="24"/>
          <w:highlight w:val="none"/>
          <w:u w:val="single" w:color="auto"/>
        </w:rPr>
        <w:t>¥</w:t>
      </w:r>
      <w:r>
        <w:rPr>
          <w:rFonts w:hint="eastAsia" w:ascii="仿宋" w:hAnsi="仿宋" w:eastAsia="仿宋" w:cs="仿宋"/>
          <w:spacing w:val="-87"/>
          <w:sz w:val="24"/>
          <w:szCs w:val="24"/>
          <w:highlight w:val="none"/>
          <w:u w:val="single" w:color="auto"/>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u w:val="single" w:color="auto"/>
          <w:lang w:val="en-US" w:eastAsia="zh-CN"/>
        </w:rPr>
        <w:t>元</w:t>
      </w:r>
      <w:r>
        <w:rPr>
          <w:rFonts w:hint="eastAsia" w:ascii="仿宋" w:hAnsi="仿宋" w:eastAsia="仿宋" w:cs="仿宋"/>
          <w:spacing w:val="-2"/>
          <w:sz w:val="24"/>
          <w:szCs w:val="24"/>
          <w:highlight w:val="none"/>
          <w:u w:val="single" w:color="auto"/>
        </w:rPr>
        <w:t xml:space="preserve">    </w:t>
      </w:r>
    </w:p>
    <w:p w14:paraId="2A1AE699">
      <w:pPr>
        <w:pStyle w:val="10"/>
        <w:numPr>
          <w:ilvl w:val="0"/>
          <w:numId w:val="2"/>
        </w:numPr>
        <w:spacing w:line="360" w:lineRule="auto"/>
        <w:ind w:firstLine="480"/>
        <w:rPr>
          <w:rFonts w:hint="eastAsia" w:ascii="仿宋" w:hAnsi="仿宋" w:eastAsia="仿宋" w:cs="仿宋"/>
          <w:sz w:val="24"/>
          <w:highlight w:val="none"/>
        </w:rPr>
      </w:pPr>
      <w:bookmarkStart w:id="5" w:name="_Toc146208008"/>
      <w:r>
        <w:rPr>
          <w:rFonts w:hint="eastAsia" w:ascii="仿宋" w:hAnsi="仿宋" w:eastAsia="仿宋" w:cs="仿宋"/>
          <w:sz w:val="24"/>
          <w:highlight w:val="none"/>
        </w:rPr>
        <w:t>支付方式：合同签订后支付合同总价的40%预付款，工程竣工、验收合格并移交资料后，支付合同总价的55%，设备设施正常运转</w:t>
      </w:r>
      <w:r>
        <w:rPr>
          <w:rFonts w:hint="eastAsia" w:ascii="仿宋" w:hAnsi="仿宋" w:eastAsia="仿宋" w:cs="仿宋"/>
          <w:sz w:val="24"/>
          <w:highlight w:val="none"/>
          <w:lang w:eastAsia="zh-CN"/>
        </w:rPr>
        <w:t>两</w:t>
      </w:r>
      <w:r>
        <w:rPr>
          <w:rFonts w:hint="eastAsia" w:ascii="仿宋" w:hAnsi="仿宋" w:eastAsia="仿宋" w:cs="仿宋"/>
          <w:sz w:val="24"/>
          <w:highlight w:val="none"/>
        </w:rPr>
        <w:t>年终验收合格后无息支付合同总价的5%。</w:t>
      </w:r>
    </w:p>
    <w:p w14:paraId="73C97C0E">
      <w:pPr>
        <w:pStyle w:val="1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（2）结算方式：银行转账，乙方在接收付款前开具等额发票给甲方，并持中标通知书、合同、发票、项目验收单等材料与甲方结算。乙方未按照约定提供发票时，甲方有权拒付费用且不承担任何责任。</w:t>
      </w:r>
    </w:p>
    <w:p w14:paraId="565A549A">
      <w:pPr>
        <w:pStyle w:val="1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账户全称：</w:t>
      </w:r>
    </w:p>
    <w:p w14:paraId="1E06F6FF">
      <w:pPr>
        <w:pStyle w:val="1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 xml:space="preserve">账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号：</w:t>
      </w:r>
    </w:p>
    <w:p w14:paraId="43F66484">
      <w:pPr>
        <w:pStyle w:val="1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开</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行：</w:t>
      </w:r>
    </w:p>
    <w:p w14:paraId="5496FFFB">
      <w:pPr>
        <w:pStyle w:val="1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甲方仅认可上述指定账户并向该账户付款。甲方有权拒绝向指定账户之外的任何账户付款，并且由此导致的付款延迟责任由乙方承担。</w:t>
      </w:r>
    </w:p>
    <w:bookmarkEnd w:id="5"/>
    <w:p w14:paraId="59DE5401">
      <w:pPr>
        <w:pStyle w:val="4"/>
        <w:rPr>
          <w:rFonts w:hint="eastAsia" w:ascii="仿宋" w:hAnsi="仿宋" w:eastAsia="仿宋" w:cs="仿宋"/>
          <w:highlight w:val="none"/>
        </w:rPr>
      </w:pPr>
      <w:bookmarkStart w:id="6" w:name="_Toc146208009"/>
      <w:bookmarkStart w:id="7" w:name="_Hlk486005177"/>
      <w:r>
        <w:rPr>
          <w:rFonts w:hint="eastAsia" w:ascii="仿宋" w:hAnsi="仿宋" w:eastAsia="仿宋" w:cs="仿宋"/>
          <w:highlight w:val="none"/>
        </w:rPr>
        <w:t>三、质量要求</w:t>
      </w:r>
      <w:bookmarkEnd w:id="6"/>
    </w:p>
    <w:bookmarkEnd w:id="7"/>
    <w:p w14:paraId="0DB2EAC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color w:val="000000"/>
          <w:sz w:val="24"/>
          <w:highlight w:val="none"/>
        </w:rPr>
        <w:t>1．</w:t>
      </w:r>
      <w:r>
        <w:rPr>
          <w:rFonts w:hint="eastAsia" w:ascii="仿宋" w:hAnsi="仿宋" w:eastAsia="仿宋" w:cs="仿宋"/>
          <w:sz w:val="24"/>
          <w:highlight w:val="none"/>
        </w:rPr>
        <w:t>本工程质量等级为“合格”，并一次性验收合格。乙方必须严格按照国家颁发的建筑工程规范、规定和标准进行施工，并接受甲方派驻现场代表的监督；</w:t>
      </w:r>
    </w:p>
    <w:p w14:paraId="62FA7FC4">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color w:val="000000"/>
          <w:sz w:val="24"/>
          <w:highlight w:val="none"/>
        </w:rPr>
        <w:t>2．</w:t>
      </w:r>
      <w:r>
        <w:rPr>
          <w:rFonts w:hint="eastAsia" w:ascii="仿宋" w:hAnsi="仿宋" w:eastAsia="仿宋" w:cs="仿宋"/>
          <w:sz w:val="24"/>
          <w:highlight w:val="none"/>
        </w:rPr>
        <w:t>对于在检查检验过程中发现的工程质量达不到约定标准的部分，乙方应根据甲方要求进行返工，直到符合约定标准</w:t>
      </w:r>
      <w:r>
        <w:rPr>
          <w:rFonts w:hint="eastAsia" w:ascii="仿宋" w:hAnsi="仿宋" w:eastAsia="仿宋" w:cs="仿宋"/>
          <w:sz w:val="24"/>
          <w:highlight w:val="none"/>
          <w:lang w:val="en-US" w:eastAsia="zh-CN"/>
        </w:rPr>
        <w:t>但不得延误工期</w:t>
      </w:r>
      <w:r>
        <w:rPr>
          <w:rFonts w:hint="eastAsia" w:ascii="仿宋" w:hAnsi="仿宋" w:eastAsia="仿宋" w:cs="仿宋"/>
          <w:sz w:val="24"/>
          <w:highlight w:val="none"/>
        </w:rPr>
        <w:t>；</w:t>
      </w:r>
    </w:p>
    <w:p w14:paraId="1E4E225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3．由乙方负责采购的主材应提供材料合格证、购买发票</w:t>
      </w:r>
      <w:r>
        <w:rPr>
          <w:rFonts w:hint="eastAsia" w:ascii="仿宋" w:hAnsi="仿宋" w:eastAsia="仿宋" w:cs="仿宋"/>
          <w:color w:val="000000"/>
          <w:sz w:val="24"/>
          <w:highlight w:val="none"/>
          <w:lang w:val="en-US" w:eastAsia="zh-CN"/>
        </w:rPr>
        <w:t>及检验报告</w:t>
      </w:r>
      <w:r>
        <w:rPr>
          <w:rFonts w:hint="eastAsia" w:ascii="仿宋" w:hAnsi="仿宋" w:eastAsia="仿宋" w:cs="仿宋"/>
          <w:color w:val="000000"/>
          <w:sz w:val="24"/>
          <w:highlight w:val="none"/>
        </w:rPr>
        <w:t>等有效质量证明材料。如发现主材的规格、数量、质量有任何问题，乙方需无条件更换，并承担一切责任。</w:t>
      </w:r>
    </w:p>
    <w:p w14:paraId="6BE1ED76">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4.产品质量要求</w:t>
      </w:r>
    </w:p>
    <w:p w14:paraId="657CB451">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1）燃烧器品牌质量达到或优于意科法兰、威索、欧科、利</w:t>
      </w:r>
      <w:r>
        <w:rPr>
          <w:rFonts w:hint="default" w:ascii="仿宋" w:hAnsi="仿宋" w:eastAsia="仿宋"/>
          <w:b w:val="0"/>
          <w:bCs/>
          <w:sz w:val="24"/>
          <w:szCs w:val="24"/>
          <w:highlight w:val="none"/>
          <w:lang w:eastAsia="zh-CN"/>
        </w:rPr>
        <w:t>雅</w:t>
      </w:r>
      <w:r>
        <w:rPr>
          <w:rFonts w:hint="eastAsia" w:ascii="仿宋" w:hAnsi="仿宋" w:eastAsia="仿宋"/>
          <w:b w:val="0"/>
          <w:bCs/>
          <w:sz w:val="24"/>
          <w:szCs w:val="24"/>
          <w:highlight w:val="none"/>
          <w:lang w:val="en-US" w:eastAsia="zh-CN"/>
        </w:rPr>
        <w:t>路、百得品牌， 机身主要配件如程序控制器、伺服电机、风机马达，点火变压器，压力开关等，均为全进口品牌，确保产品质量的稳定性。</w:t>
      </w:r>
    </w:p>
    <w:p w14:paraId="36B234E5">
      <w:pPr>
        <w:pStyle w:val="11"/>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2）程序控制器具备前吹扫和后吹扫功能、空气压力保护、燃气泄漏检测装置、火焰监测系统、高效点火系统保证安全。</w:t>
      </w:r>
    </w:p>
    <w:p w14:paraId="14DDC1CC">
      <w:pPr>
        <w:pStyle w:val="2"/>
        <w:ind w:left="0" w:leftChars="0" w:firstLine="480" w:firstLineChars="200"/>
        <w:jc w:val="left"/>
        <w:rPr>
          <w:rFonts w:hint="eastAsia"/>
          <w:sz w:val="24"/>
          <w:highlight w:val="none"/>
        </w:rPr>
      </w:pPr>
      <w:r>
        <w:rPr>
          <w:rFonts w:hint="eastAsia" w:ascii="仿宋" w:hAnsi="仿宋" w:eastAsia="仿宋"/>
          <w:b w:val="0"/>
          <w:bCs/>
          <w:sz w:val="24"/>
          <w:szCs w:val="24"/>
          <w:highlight w:val="none"/>
          <w:lang w:val="en-US" w:eastAsia="zh-CN"/>
        </w:rPr>
        <w:t>3）燃烧器及燃烧系统符合《燃油（气）燃烧器安全技术规则》和《锅炉安全技术监察规程》的规定。</w:t>
      </w:r>
    </w:p>
    <w:p w14:paraId="7EE1D079">
      <w:pPr>
        <w:pStyle w:val="4"/>
        <w:rPr>
          <w:rFonts w:hint="eastAsia" w:ascii="仿宋" w:hAnsi="仿宋" w:eastAsia="仿宋" w:cs="仿宋"/>
          <w:color w:val="000000"/>
          <w:sz w:val="24"/>
          <w:highlight w:val="none"/>
        </w:rPr>
      </w:pPr>
      <w:bookmarkStart w:id="8" w:name="_Toc146208010"/>
      <w:r>
        <w:rPr>
          <w:rFonts w:hint="eastAsia" w:ascii="仿宋" w:hAnsi="仿宋" w:eastAsia="仿宋" w:cs="仿宋"/>
          <w:highlight w:val="none"/>
        </w:rPr>
        <w:t>四、甲方责任</w:t>
      </w:r>
      <w:bookmarkEnd w:id="8"/>
    </w:p>
    <w:p w14:paraId="688A487D">
      <w:pPr>
        <w:spacing w:line="360" w:lineRule="auto"/>
        <w:ind w:left="921" w:leftChars="267" w:hanging="360" w:hangingChars="15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1</w:t>
      </w:r>
      <w:r>
        <w:rPr>
          <w:rFonts w:hint="eastAsia" w:ascii="仿宋" w:hAnsi="仿宋" w:eastAsia="仿宋" w:cs="仿宋"/>
          <w:color w:val="000000"/>
          <w:sz w:val="24"/>
          <w:highlight w:val="none"/>
        </w:rPr>
        <w:t>．工程竣工验收</w:t>
      </w:r>
      <w:r>
        <w:rPr>
          <w:rFonts w:hint="eastAsia" w:ascii="仿宋" w:hAnsi="仿宋" w:eastAsia="仿宋" w:cs="仿宋"/>
          <w:color w:val="000000"/>
          <w:sz w:val="24"/>
          <w:highlight w:val="none"/>
          <w:lang w:val="en-US" w:eastAsia="zh-CN"/>
        </w:rPr>
        <w:t>并且乙方资料齐全</w:t>
      </w:r>
      <w:r>
        <w:rPr>
          <w:rFonts w:hint="eastAsia" w:ascii="仿宋" w:hAnsi="仿宋" w:eastAsia="仿宋" w:cs="仿宋"/>
          <w:color w:val="000000"/>
          <w:sz w:val="24"/>
          <w:highlight w:val="none"/>
        </w:rPr>
        <w:t>后，甲方应及时按照合同约定支付工程款；</w:t>
      </w:r>
    </w:p>
    <w:p w14:paraId="2E760D93">
      <w:pPr>
        <w:spacing w:line="360"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2</w:t>
      </w:r>
      <w:r>
        <w:rPr>
          <w:rFonts w:hint="eastAsia" w:ascii="仿宋" w:hAnsi="仿宋" w:eastAsia="仿宋" w:cs="仿宋"/>
          <w:color w:val="000000"/>
          <w:sz w:val="24"/>
          <w:highlight w:val="none"/>
        </w:rPr>
        <w:t>．甲方派驻施工现场代表</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姓名：    联系方式：   ）</w:t>
      </w:r>
      <w:r>
        <w:rPr>
          <w:rFonts w:hint="eastAsia" w:ascii="仿宋" w:hAnsi="仿宋" w:eastAsia="仿宋" w:cs="仿宋"/>
          <w:color w:val="000000"/>
          <w:sz w:val="24"/>
          <w:highlight w:val="none"/>
        </w:rPr>
        <w:t>对工程全过程进行监督、验收</w:t>
      </w:r>
      <w:r>
        <w:rPr>
          <w:rFonts w:hint="eastAsia" w:ascii="仿宋" w:hAnsi="仿宋" w:eastAsia="仿宋" w:cs="仿宋"/>
          <w:color w:val="000000"/>
          <w:sz w:val="24"/>
          <w:highlight w:val="none"/>
          <w:lang w:eastAsia="zh-CN"/>
        </w:rPr>
        <w:t>。</w:t>
      </w:r>
    </w:p>
    <w:p w14:paraId="0D0ED821">
      <w:pPr>
        <w:pStyle w:val="12"/>
        <w:rPr>
          <w:rFonts w:hint="eastAsia" w:ascii="仿宋" w:hAnsi="仿宋" w:eastAsia="仿宋" w:cs="仿宋"/>
          <w:highlight w:val="none"/>
          <w:lang w:val="en-US" w:eastAsia="zh-CN"/>
        </w:rPr>
      </w:pPr>
    </w:p>
    <w:p w14:paraId="5EB31E06">
      <w:pPr>
        <w:pStyle w:val="4"/>
        <w:rPr>
          <w:rFonts w:hint="eastAsia" w:ascii="仿宋" w:hAnsi="仿宋" w:eastAsia="仿宋" w:cs="仿宋"/>
          <w:highlight w:val="none"/>
        </w:rPr>
      </w:pPr>
      <w:bookmarkStart w:id="9" w:name="_Toc146208011"/>
      <w:r>
        <w:rPr>
          <w:rFonts w:hint="eastAsia" w:ascii="仿宋" w:hAnsi="仿宋" w:eastAsia="仿宋" w:cs="仿宋"/>
          <w:highlight w:val="none"/>
        </w:rPr>
        <w:t>五、乙方责任</w:t>
      </w:r>
      <w:bookmarkEnd w:id="9"/>
    </w:p>
    <w:p w14:paraId="4D54AAFE">
      <w:pPr>
        <w:widowControl/>
        <w:spacing w:line="360" w:lineRule="auto"/>
        <w:ind w:firstLine="480" w:firstLineChars="200"/>
        <w:jc w:val="left"/>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 xml:space="preserve">1. </w:t>
      </w:r>
      <w:r>
        <w:rPr>
          <w:rFonts w:hint="eastAsia" w:ascii="仿宋" w:hAnsi="仿宋" w:eastAsia="仿宋" w:cs="仿宋"/>
          <w:color w:val="000000"/>
          <w:sz w:val="24"/>
          <w:highlight w:val="none"/>
          <w:lang w:val="en-US" w:eastAsia="zh-CN"/>
        </w:rPr>
        <w:t xml:space="preserve">乙方派驻的施工经理（姓名：      电话：        ）及安全员（姓名：       </w:t>
      </w:r>
    </w:p>
    <w:p w14:paraId="7426ECB7">
      <w:pPr>
        <w:widowControl/>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 xml:space="preserve"> 电话：            ），</w:t>
      </w:r>
      <w:r>
        <w:rPr>
          <w:rFonts w:hint="eastAsia" w:ascii="仿宋" w:hAnsi="仿宋" w:eastAsia="仿宋" w:cs="仿宋"/>
          <w:color w:val="000000"/>
          <w:sz w:val="24"/>
          <w:highlight w:val="none"/>
        </w:rPr>
        <w:t>施工期间</w:t>
      </w:r>
      <w:r>
        <w:rPr>
          <w:rFonts w:hint="eastAsia" w:ascii="仿宋" w:hAnsi="仿宋" w:eastAsia="仿宋" w:cs="仿宋"/>
          <w:color w:val="000000"/>
          <w:sz w:val="24"/>
          <w:highlight w:val="none"/>
          <w:lang w:val="en-US" w:eastAsia="zh-CN"/>
        </w:rPr>
        <w:t>乙方严格按照规定安全文明施工，一切</w:t>
      </w:r>
      <w:r>
        <w:rPr>
          <w:rFonts w:hint="eastAsia" w:ascii="仿宋" w:hAnsi="仿宋" w:eastAsia="仿宋" w:cs="仿宋"/>
          <w:color w:val="000000"/>
          <w:sz w:val="24"/>
          <w:highlight w:val="none"/>
        </w:rPr>
        <w:t>的</w:t>
      </w:r>
      <w:r>
        <w:rPr>
          <w:rFonts w:hint="eastAsia" w:ascii="仿宋" w:hAnsi="仿宋" w:eastAsia="仿宋" w:cs="仿宋"/>
          <w:color w:val="000000"/>
          <w:sz w:val="24"/>
          <w:highlight w:val="none"/>
          <w:lang w:val="en-US" w:eastAsia="zh-CN"/>
        </w:rPr>
        <w:t>安全</w:t>
      </w:r>
      <w:r>
        <w:rPr>
          <w:rFonts w:hint="eastAsia" w:ascii="仿宋" w:hAnsi="仿宋" w:eastAsia="仿宋" w:cs="仿宋"/>
          <w:color w:val="000000"/>
          <w:sz w:val="24"/>
          <w:highlight w:val="none"/>
        </w:rPr>
        <w:t>问题</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由此而发生的各种费用</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由</w:t>
      </w:r>
      <w:r>
        <w:rPr>
          <w:rFonts w:hint="eastAsia" w:ascii="仿宋" w:hAnsi="仿宋" w:eastAsia="仿宋" w:cs="仿宋"/>
          <w:color w:val="000000"/>
          <w:sz w:val="24"/>
          <w:highlight w:val="none"/>
          <w:lang w:val="en-US" w:eastAsia="zh-CN"/>
        </w:rPr>
        <w:t>乙方</w:t>
      </w:r>
      <w:r>
        <w:rPr>
          <w:rFonts w:hint="eastAsia" w:ascii="仿宋" w:hAnsi="仿宋" w:eastAsia="仿宋" w:cs="仿宋"/>
          <w:color w:val="000000"/>
          <w:sz w:val="24"/>
          <w:highlight w:val="none"/>
        </w:rPr>
        <w:t>负责承担；</w:t>
      </w:r>
    </w:p>
    <w:p w14:paraId="2D243AD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乙方须提供主材的合格证、</w:t>
      </w:r>
      <w:r>
        <w:rPr>
          <w:rFonts w:hint="eastAsia" w:ascii="仿宋" w:hAnsi="仿宋" w:eastAsia="仿宋" w:cs="仿宋"/>
          <w:color w:val="000000"/>
          <w:sz w:val="24"/>
          <w:highlight w:val="none"/>
          <w:lang w:val="en-US" w:eastAsia="zh-CN"/>
        </w:rPr>
        <w:t>质检报告，</w:t>
      </w:r>
      <w:r>
        <w:rPr>
          <w:rFonts w:hint="eastAsia" w:ascii="仿宋" w:hAnsi="仿宋" w:eastAsia="仿宋" w:cs="仿宋"/>
          <w:color w:val="000000"/>
          <w:sz w:val="24"/>
          <w:highlight w:val="none"/>
        </w:rPr>
        <w:t>材料进场时，应经甲方代表验收确认合格后方可</w:t>
      </w:r>
      <w:r>
        <w:rPr>
          <w:rFonts w:hint="eastAsia" w:ascii="仿宋" w:hAnsi="仿宋" w:eastAsia="仿宋" w:cs="仿宋"/>
          <w:color w:val="000000"/>
          <w:sz w:val="24"/>
          <w:highlight w:val="none"/>
          <w:lang w:val="en-US" w:eastAsia="zh-CN"/>
        </w:rPr>
        <w:t>用于</w:t>
      </w:r>
      <w:r>
        <w:rPr>
          <w:rFonts w:hint="eastAsia" w:ascii="仿宋" w:hAnsi="仿宋" w:eastAsia="仿宋" w:cs="仿宋"/>
          <w:color w:val="000000"/>
          <w:sz w:val="24"/>
          <w:highlight w:val="none"/>
        </w:rPr>
        <w:t>施工。如材料质量、规格与采购文件不符，乙方无条件更换，并承担工期延误责任；</w:t>
      </w:r>
      <w:r>
        <w:rPr>
          <w:rFonts w:hint="eastAsia" w:ascii="仿宋" w:hAnsi="仿宋" w:eastAsia="仿宋" w:cs="仿宋"/>
          <w:color w:val="000000"/>
          <w:sz w:val="24"/>
          <w:highlight w:val="none"/>
          <w:lang w:eastAsia="zh-CN"/>
        </w:rPr>
        <w:t>乙方</w:t>
      </w:r>
      <w:r>
        <w:rPr>
          <w:rFonts w:hint="eastAsia" w:ascii="仿宋" w:hAnsi="仿宋" w:eastAsia="仿宋" w:cs="仿宋"/>
          <w:color w:val="000000"/>
          <w:sz w:val="24"/>
          <w:highlight w:val="none"/>
        </w:rPr>
        <w:t>提供设计优化图4套，竣工图2套。</w:t>
      </w:r>
    </w:p>
    <w:p w14:paraId="36A380AD">
      <w:pPr>
        <w:pStyle w:val="3"/>
        <w:spacing w:line="360" w:lineRule="auto"/>
        <w:ind w:firstLine="480" w:firstLineChars="200"/>
        <w:jc w:val="both"/>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3．施工过程中产生的建筑垃圾应</w:t>
      </w:r>
      <w:r>
        <w:rPr>
          <w:rFonts w:hint="eastAsia" w:ascii="仿宋" w:hAnsi="仿宋" w:eastAsia="仿宋" w:cs="仿宋"/>
          <w:color w:val="000000"/>
          <w:sz w:val="24"/>
          <w:highlight w:val="none"/>
          <w:lang w:val="en-US" w:eastAsia="zh-CN"/>
        </w:rPr>
        <w:t>由乙方</w:t>
      </w:r>
      <w:r>
        <w:rPr>
          <w:rFonts w:hint="eastAsia" w:ascii="仿宋" w:hAnsi="仿宋" w:eastAsia="仿宋" w:cs="仿宋"/>
          <w:color w:val="000000"/>
          <w:sz w:val="24"/>
          <w:highlight w:val="none"/>
        </w:rPr>
        <w:t>及时清理</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工完场清。乙方拒不清理的，甲方可委托第三方进行清理，由此产生的全部费用由乙方承担，甲方有权在向乙方支付款项时直接扣除该部分费用。</w:t>
      </w:r>
    </w:p>
    <w:p w14:paraId="566D8CC8">
      <w:pPr>
        <w:spacing w:line="360" w:lineRule="auto"/>
        <w:ind w:left="799" w:leftChars="266" w:hanging="240" w:hangingChars="1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安全条款：</w:t>
      </w:r>
    </w:p>
    <w:p w14:paraId="1A6F69B3">
      <w:pPr>
        <w:spacing w:line="360" w:lineRule="auto"/>
        <w:ind w:left="921" w:leftChars="267" w:hanging="360" w:hanging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（1）乙方须指定施工现场安全员（安全员须持C证）和监督员，并在甲方备案；</w:t>
      </w:r>
    </w:p>
    <w:p w14:paraId="2C5CD327">
      <w:pPr>
        <w:spacing w:line="360" w:lineRule="auto"/>
        <w:ind w:left="921" w:leftChars="267" w:hanging="360" w:hanging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（2）施工前，乙方安全员须对施工人员进行安全教育；</w:t>
      </w:r>
    </w:p>
    <w:p w14:paraId="33D4CA3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（3）乙方施工人员进工地必须统一管理，必须佩带施工证，如有特种作业人员必须携带特种作业操作证持证上岗，便于甲方监管；</w:t>
      </w:r>
    </w:p>
    <w:p w14:paraId="71594F8A">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（4）乙方应在施工区域设置明显标志，并对集中性施工项目做封闭管理，严禁施工人员以外的人进入施工场地。施工人员应在施工区域内活动，不得随意进入非施工区域； </w:t>
      </w:r>
    </w:p>
    <w:p w14:paraId="048791A5">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（5）开工前，乙方应编制安全措施计划及安全专项方案，乙方在施工中使用的安全防护器材及劳动防护用品、用具的产品质量、配备数量等均应符合安全、职业和卫生要求，否则不得开工作业；</w:t>
      </w:r>
    </w:p>
    <w:p w14:paraId="30F543E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（6）施工过程中，甲方有权随时进行检查，有权制止违章作业，有权对违反安全规定的行为进行处罚或责令施工队伍停工整顿；  </w:t>
      </w:r>
    </w:p>
    <w:p w14:paraId="1ECD60C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（7）乙方应采取严格的安全防护措施。施工过程中，如对施工人员或第三人造成人身伤害及财产损失，责任和由此而发生的费用，均由乙方承担；</w:t>
      </w:r>
    </w:p>
    <w:p w14:paraId="27EF15A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（8）乙方必须对施工现场及其周边的各类设施、设备进行保护，损坏物品照价赔偿。</w:t>
      </w:r>
    </w:p>
    <w:p w14:paraId="5CF4F483">
      <w:pPr>
        <w:pStyle w:val="11"/>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outlineLvl w:val="2"/>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5.根据实际需要，乙方应在工程施工实施期间进行巡查，若出现质量问题，乙方应免费对工程出现的问题进行维修。</w:t>
      </w:r>
    </w:p>
    <w:p w14:paraId="50F5335E">
      <w:pPr>
        <w:pStyle w:val="11"/>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outlineLvl w:val="2"/>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6.乙方应完成施工所需设备、材料的供应、运输至甲方指定地点，并按照国家相关规范交付采购人验收合格。</w:t>
      </w:r>
    </w:p>
    <w:p w14:paraId="7A3775FA">
      <w:pPr>
        <w:pStyle w:val="11"/>
        <w:keepNext w:val="0"/>
        <w:keepLines w:val="0"/>
        <w:pageBreakBefore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7.在质保期内，如果发现工程质量及工程材料规格、材质等存在与合同有任何一项不符，甲方可在七个工作日内，以书面形式向乙方提出索赔。</w:t>
      </w:r>
    </w:p>
    <w:p w14:paraId="4CCF60F9">
      <w:pPr>
        <w:pStyle w:val="11"/>
        <w:keepNext w:val="0"/>
        <w:keepLines w:val="0"/>
        <w:pageBreakBefore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8.乙方应切实加强施工安全管理，如因措施不力造成人员伤亡或财产损失等一切事故，乙方负全责并承担所有费用。</w:t>
      </w:r>
    </w:p>
    <w:p w14:paraId="5CF06DC0">
      <w:pPr>
        <w:pStyle w:val="2"/>
        <w:ind w:left="0" w:leftChars="0" w:firstLine="480" w:firstLineChars="200"/>
        <w:jc w:val="both"/>
        <w:rPr>
          <w:rFonts w:hint="eastAsia"/>
          <w:sz w:val="24"/>
          <w:highlight w:val="none"/>
        </w:rPr>
      </w:pPr>
      <w:r>
        <w:rPr>
          <w:rFonts w:hint="eastAsia" w:ascii="仿宋" w:hAnsi="仿宋" w:eastAsia="仿宋" w:cs="仿宋"/>
          <w:b w:val="0"/>
          <w:bCs w:val="0"/>
          <w:color w:val="auto"/>
          <w:sz w:val="24"/>
          <w:szCs w:val="24"/>
          <w:highlight w:val="none"/>
          <w:lang w:val="en-US" w:eastAsia="zh-CN"/>
        </w:rPr>
        <w:t>9.乙方在施工中妥善处理好各方关系，如有纠纷自行解决，并承担由此产生的法律责任及费用。</w:t>
      </w:r>
    </w:p>
    <w:p w14:paraId="46414032">
      <w:pPr>
        <w:spacing w:line="360" w:lineRule="auto"/>
        <w:ind w:left="799" w:leftChars="266" w:hanging="240" w:hangingChars="1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10</w:t>
      </w:r>
      <w:r>
        <w:rPr>
          <w:rFonts w:hint="eastAsia" w:ascii="仿宋" w:hAnsi="仿宋" w:eastAsia="仿宋" w:cs="仿宋"/>
          <w:color w:val="000000"/>
          <w:sz w:val="24"/>
          <w:highlight w:val="none"/>
        </w:rPr>
        <w:t>．文明施工条款：</w:t>
      </w:r>
    </w:p>
    <w:p w14:paraId="044B847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乙方必须根据省、市及所在地相关部门颁发的文明施工规定和国家有关</w:t>
      </w:r>
      <w:r>
        <w:rPr>
          <w:rFonts w:hint="eastAsia" w:ascii="仿宋" w:hAnsi="仿宋" w:eastAsia="仿宋" w:cs="仿宋"/>
          <w:color w:val="000000"/>
          <w:sz w:val="24"/>
          <w:highlight w:val="none"/>
          <w:lang w:val="en-US" w:eastAsia="zh-CN"/>
        </w:rPr>
        <w:t>环保、</w:t>
      </w:r>
      <w:r>
        <w:rPr>
          <w:rFonts w:hint="eastAsia" w:ascii="仿宋" w:hAnsi="仿宋" w:eastAsia="仿宋" w:cs="仿宋"/>
          <w:color w:val="000000"/>
          <w:sz w:val="24"/>
          <w:highlight w:val="none"/>
        </w:rPr>
        <w:t>安全</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文明</w:t>
      </w:r>
      <w:r>
        <w:rPr>
          <w:rFonts w:hint="eastAsia" w:ascii="仿宋" w:hAnsi="仿宋" w:eastAsia="仿宋" w:cs="仿宋"/>
          <w:color w:val="000000"/>
          <w:sz w:val="24"/>
          <w:highlight w:val="none"/>
        </w:rPr>
        <w:t>施工的各种规范要求，精心组织施工，贯彻“谁施工，谁负责”的原则。由于乙方违反操作规程施工所造成的一切损失均由乙方承担，合同协议所确定的合同价款中已包含了有关的全部费用。</w:t>
      </w:r>
    </w:p>
    <w:p w14:paraId="62CACDD0">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11.违约责任：</w:t>
      </w:r>
    </w:p>
    <w:p w14:paraId="38772185">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1）因乙方工程内在质量问题，引发甲方安全或质量事故，造成甲方或及第三人人身损失、财产损失的，乙方应赔偿甲方或第三人为此支付的所有费用（包括但不限于赔偿的费用、必要的律师费、罚款等），此责任不因甲方已进行验收而免除。甲方因此遭索赔的，有权向乙方追偿。</w:t>
      </w:r>
    </w:p>
    <w:p w14:paraId="09CEB51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000000"/>
          <w:sz w:val="24"/>
          <w:highlight w:val="none"/>
          <w:lang w:val="en-US" w:eastAsia="zh-CN"/>
        </w:rPr>
        <w:t>（2）</w:t>
      </w:r>
      <w:r>
        <w:rPr>
          <w:rFonts w:hint="eastAsia" w:ascii="仿宋" w:hAnsi="仿宋" w:eastAsia="仿宋" w:cs="仿宋"/>
          <w:color w:val="auto"/>
          <w:sz w:val="24"/>
          <w:highlight w:val="none"/>
        </w:rPr>
        <w:t>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w:t>
      </w:r>
      <w:r>
        <w:rPr>
          <w:rFonts w:hint="default" w:ascii="Calibri" w:hAnsi="Calibri" w:eastAsia="仿宋" w:cs="Calibri"/>
          <w:color w:val="auto"/>
          <w:sz w:val="24"/>
          <w:highlight w:val="none"/>
        </w:rPr>
        <w:t>①</w:t>
      </w:r>
      <w:r>
        <w:rPr>
          <w:rFonts w:hint="eastAsia" w:ascii="仿宋" w:hAnsi="仿宋" w:eastAsia="仿宋" w:cs="仿宋"/>
          <w:color w:val="auto"/>
          <w:sz w:val="24"/>
          <w:highlight w:val="none"/>
        </w:rPr>
        <w:t>乙方赔偿甲方解除合同的全部损失（包括但不限于重新采购产生的费用以及其它由此造成的甲方对第三方的违约损失等）；②乙方支付甲方违约金，违约金计算方法：以合同总价为基数，支付甲方合同总价的30%为违约金。同时，对乙方的违约行为报监管机构进行相应的处罚。</w:t>
      </w:r>
    </w:p>
    <w:p w14:paraId="33B81F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若乙方未按照</w:t>
      </w:r>
      <w:r>
        <w:rPr>
          <w:rFonts w:hint="eastAsia" w:ascii="仿宋" w:hAnsi="仿宋" w:eastAsia="仿宋" w:cs="仿宋"/>
          <w:color w:val="auto"/>
          <w:sz w:val="24"/>
          <w:highlight w:val="none"/>
          <w:lang w:val="en-US" w:eastAsia="zh-CN"/>
        </w:rPr>
        <w:t>本合同约定的工期完成全部施工内容并获得甲方验收通过</w:t>
      </w:r>
      <w:r>
        <w:rPr>
          <w:rFonts w:hint="eastAsia" w:ascii="仿宋" w:hAnsi="仿宋" w:eastAsia="仿宋" w:cs="仿宋"/>
          <w:color w:val="auto"/>
          <w:sz w:val="24"/>
          <w:highlight w:val="none"/>
        </w:rPr>
        <w:t>的，每超过一天，扣除乙方合同总价款的</w:t>
      </w:r>
      <w:r>
        <w:rPr>
          <w:rFonts w:hint="eastAsia" w:ascii="仿宋" w:hAnsi="仿宋" w:eastAsia="仿宋" w:cs="仿宋"/>
          <w:color w:val="auto"/>
          <w:sz w:val="24"/>
          <w:highlight w:val="none"/>
        </w:rPr>
        <w:t xml:space="preserve"> 10 ‰</w:t>
      </w:r>
      <w:r>
        <w:rPr>
          <w:rFonts w:hint="eastAsia" w:ascii="仿宋" w:hAnsi="仿宋" w:eastAsia="仿宋" w:cs="仿宋"/>
          <w:color w:val="auto"/>
          <w:sz w:val="24"/>
          <w:highlight w:val="none"/>
        </w:rPr>
        <w:t>，累计超过 5日，视为乙方根本违约，甲方有权单方解除合同，解除合同书面通知书到达乙方之日视为合同已解除，并要求乙方按本</w:t>
      </w:r>
      <w:r>
        <w:rPr>
          <w:rFonts w:hint="eastAsia" w:ascii="仿宋" w:hAnsi="仿宋" w:eastAsia="仿宋" w:cs="仿宋"/>
          <w:color w:val="auto"/>
          <w:sz w:val="24"/>
          <w:highlight w:val="none"/>
          <w:lang w:val="en-US" w:eastAsia="zh-CN"/>
        </w:rPr>
        <w:t>违约责任</w:t>
      </w:r>
      <w:r>
        <w:rPr>
          <w:rFonts w:hint="eastAsia" w:ascii="仿宋" w:hAnsi="仿宋" w:eastAsia="仿宋" w:cs="仿宋"/>
          <w:color w:val="auto"/>
          <w:sz w:val="24"/>
          <w:highlight w:val="none"/>
        </w:rPr>
        <w:t>条</w:t>
      </w:r>
      <w:r>
        <w:rPr>
          <w:rFonts w:hint="eastAsia" w:ascii="仿宋" w:hAnsi="仿宋" w:eastAsia="仿宋" w:cs="仿宋"/>
          <w:color w:val="auto"/>
          <w:sz w:val="24"/>
          <w:highlight w:val="none"/>
          <w:lang w:val="en-US" w:eastAsia="zh-CN"/>
        </w:rPr>
        <w:t>款</w:t>
      </w:r>
      <w:r>
        <w:rPr>
          <w:rFonts w:hint="eastAsia" w:ascii="仿宋" w:hAnsi="仿宋" w:eastAsia="仿宋" w:cs="仿宋"/>
          <w:color w:val="auto"/>
          <w:sz w:val="24"/>
          <w:highlight w:val="none"/>
        </w:rPr>
        <w:t>第</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w:t>
      </w:r>
      <w:r>
        <w:rPr>
          <w:rFonts w:hint="eastAsia" w:ascii="仿宋" w:hAnsi="仿宋" w:eastAsia="仿宋" w:cs="仿宋"/>
          <w:color w:val="auto"/>
          <w:sz w:val="24"/>
          <w:highlight w:val="none"/>
        </w:rPr>
        <w:t xml:space="preserve">之约定承担根本违约责任。 </w:t>
      </w:r>
    </w:p>
    <w:p w14:paraId="0F18038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w:t>
      </w:r>
      <w:r>
        <w:rPr>
          <w:rFonts w:hint="eastAsia" w:ascii="仿宋" w:hAnsi="仿宋" w:eastAsia="仿宋" w:cs="仿宋"/>
          <w:color w:val="auto"/>
          <w:sz w:val="24"/>
          <w:highlight w:val="none"/>
          <w:lang w:val="en-US" w:eastAsia="zh-CN"/>
        </w:rPr>
        <w:t>违约责任条款</w:t>
      </w:r>
      <w:r>
        <w:rPr>
          <w:rFonts w:hint="eastAsia" w:ascii="仿宋" w:hAnsi="仿宋" w:eastAsia="仿宋" w:cs="仿宋"/>
          <w:color w:val="auto"/>
          <w:sz w:val="24"/>
          <w:highlight w:val="none"/>
        </w:rPr>
        <w:t>第</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w:t>
      </w:r>
      <w:r>
        <w:rPr>
          <w:rFonts w:hint="eastAsia" w:ascii="仿宋" w:hAnsi="仿宋" w:eastAsia="仿宋" w:cs="仿宋"/>
          <w:color w:val="auto"/>
          <w:sz w:val="24"/>
          <w:highlight w:val="none"/>
        </w:rPr>
        <w:t xml:space="preserve">的规定承担根本违约责任。 </w:t>
      </w:r>
    </w:p>
    <w:p w14:paraId="7EE0169D">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在合同期限内，乙方不得擅自转包、分包本合同项下的合同义务，否则甲方有权单方解除本合同并有权要求乙方按照本</w:t>
      </w:r>
      <w:r>
        <w:rPr>
          <w:rFonts w:hint="eastAsia" w:ascii="仿宋" w:hAnsi="仿宋" w:eastAsia="仿宋" w:cs="仿宋"/>
          <w:color w:val="auto"/>
          <w:sz w:val="24"/>
          <w:highlight w:val="none"/>
          <w:lang w:val="en-US" w:eastAsia="zh-CN"/>
        </w:rPr>
        <w:t>违约责任条款</w:t>
      </w:r>
      <w:r>
        <w:rPr>
          <w:rFonts w:hint="eastAsia" w:ascii="仿宋" w:hAnsi="仿宋" w:eastAsia="仿宋" w:cs="仿宋"/>
          <w:color w:val="auto"/>
          <w:sz w:val="24"/>
          <w:highlight w:val="none"/>
        </w:rPr>
        <w:t>第</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w:t>
      </w:r>
      <w:r>
        <w:rPr>
          <w:rFonts w:hint="eastAsia" w:ascii="仿宋" w:hAnsi="仿宋" w:eastAsia="仿宋" w:cs="仿宋"/>
          <w:color w:val="auto"/>
          <w:sz w:val="24"/>
          <w:highlight w:val="none"/>
        </w:rPr>
        <w:t>的规定承担根本违约责任。</w:t>
      </w:r>
    </w:p>
    <w:p w14:paraId="7144B5C8">
      <w:pPr>
        <w:pStyle w:val="4"/>
        <w:rPr>
          <w:rFonts w:hint="eastAsia" w:ascii="仿宋" w:hAnsi="仿宋" w:eastAsia="仿宋" w:cs="仿宋"/>
          <w:highlight w:val="none"/>
        </w:rPr>
      </w:pPr>
      <w:bookmarkStart w:id="10" w:name="_Toc146208012"/>
      <w:r>
        <w:rPr>
          <w:rFonts w:hint="eastAsia" w:ascii="仿宋" w:hAnsi="仿宋" w:eastAsia="仿宋" w:cs="仿宋"/>
          <w:highlight w:val="none"/>
        </w:rPr>
        <w:t>六、工程竣工验收与结算</w:t>
      </w:r>
      <w:bookmarkEnd w:id="10"/>
    </w:p>
    <w:p w14:paraId="437E176C">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1.竣工验收</w:t>
      </w:r>
    </w:p>
    <w:p w14:paraId="2983395F">
      <w:pPr>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工程完工后，甲方在乙方提交竣工验收申请后进行初验，乙方对初验提出的问题进行整改。整改完毕后，经现场负责人核实无误后，乙方提交《维修改造工程竣工验收报告》、《维修项目施工工序验收记录表》、《维修项目主要材料验收记录表》等，资料齐全后，甲方组织院内相关部门进行竣工验收。</w:t>
      </w:r>
    </w:p>
    <w:p w14:paraId="5181DAD5">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2.竣工结算</w:t>
      </w:r>
    </w:p>
    <w:p w14:paraId="07CB0B6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乙方应在工程施工期间至竣工验收前向甲方递交竣工验收报告单等，并于竣工验收通过后十个工作日内向甲方提交工程结算资料。 </w:t>
      </w:r>
    </w:p>
    <w:p w14:paraId="4A20517C">
      <w:pPr>
        <w:pStyle w:val="4"/>
        <w:rPr>
          <w:rFonts w:hint="eastAsia" w:ascii="仿宋" w:hAnsi="仿宋" w:eastAsia="仿宋" w:cs="仿宋"/>
          <w:highlight w:val="none"/>
        </w:rPr>
      </w:pPr>
      <w:bookmarkStart w:id="11" w:name="_Toc146208013"/>
      <w:r>
        <w:rPr>
          <w:rFonts w:hint="eastAsia" w:ascii="仿宋" w:hAnsi="仿宋" w:eastAsia="仿宋" w:cs="仿宋"/>
          <w:highlight w:val="none"/>
        </w:rPr>
        <w:t>七、保修条款</w:t>
      </w:r>
      <w:bookmarkEnd w:id="11"/>
    </w:p>
    <w:p w14:paraId="1FE0AEF4">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1.</w:t>
      </w:r>
      <w:r>
        <w:rPr>
          <w:rFonts w:hint="eastAsia" w:ascii="仿宋" w:hAnsi="仿宋" w:eastAsia="仿宋" w:cs="仿宋"/>
          <w:color w:val="000000"/>
          <w:sz w:val="24"/>
          <w:highlight w:val="none"/>
        </w:rPr>
        <w:t>本项目质保期为</w:t>
      </w:r>
      <w:r>
        <w:rPr>
          <w:rFonts w:hint="eastAsia" w:ascii="仿宋" w:hAnsi="仿宋" w:eastAsia="仿宋" w:cs="仿宋"/>
          <w:color w:val="000000"/>
          <w:sz w:val="24"/>
          <w:highlight w:val="none"/>
          <w:lang w:val="en-US" w:eastAsia="zh-CN"/>
        </w:rPr>
        <w:t>二</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lang w:val="en-US" w:eastAsia="zh-CN"/>
        </w:rPr>
        <w:t>防水工程五年，</w:t>
      </w:r>
      <w:r>
        <w:rPr>
          <w:rFonts w:hint="eastAsia" w:ascii="仿宋" w:hAnsi="仿宋" w:eastAsia="仿宋" w:cs="仿宋"/>
          <w:color w:val="000000"/>
          <w:sz w:val="24"/>
          <w:highlight w:val="none"/>
        </w:rPr>
        <w:t>保修期自验收合格</w:t>
      </w:r>
      <w:r>
        <w:rPr>
          <w:rFonts w:hint="eastAsia" w:ascii="仿宋" w:hAnsi="仿宋" w:eastAsia="仿宋" w:cs="仿宋"/>
          <w:color w:val="000000"/>
          <w:sz w:val="24"/>
          <w:highlight w:val="none"/>
          <w:lang w:eastAsia="zh-CN"/>
        </w:rPr>
        <w:t>并开具质量保证书</w:t>
      </w:r>
      <w:r>
        <w:rPr>
          <w:rFonts w:hint="eastAsia" w:ascii="仿宋" w:hAnsi="仿宋" w:eastAsia="仿宋" w:cs="仿宋"/>
          <w:color w:val="000000"/>
          <w:sz w:val="24"/>
          <w:highlight w:val="none"/>
        </w:rPr>
        <w:t>之日起计算。</w:t>
      </w:r>
    </w:p>
    <w:p w14:paraId="6D7ADD8A">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2.</w:t>
      </w:r>
      <w:r>
        <w:rPr>
          <w:rFonts w:hint="eastAsia" w:ascii="仿宋" w:hAnsi="仿宋" w:eastAsia="仿宋" w:cs="仿宋"/>
          <w:color w:val="000000"/>
          <w:sz w:val="24"/>
          <w:highlight w:val="none"/>
        </w:rPr>
        <w:t>在质保期内若发生质量问题，乙方应在接到通知时起，24小时内到达现场服务</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48</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小时内解决问题</w:t>
      </w:r>
      <w:r>
        <w:rPr>
          <w:rFonts w:hint="eastAsia" w:ascii="仿宋" w:hAnsi="仿宋" w:eastAsia="仿宋" w:cs="仿宋"/>
          <w:color w:val="000000"/>
          <w:sz w:val="24"/>
          <w:highlight w:val="none"/>
        </w:rPr>
        <w:t>。如乙方未能在上述时间内到场解决，甲方有权委托第三方予以解决，</w:t>
      </w:r>
      <w:r>
        <w:rPr>
          <w:rFonts w:hint="eastAsia" w:ascii="仿宋" w:hAnsi="仿宋" w:eastAsia="仿宋" w:cs="仿宋"/>
          <w:color w:val="000000"/>
          <w:sz w:val="24"/>
          <w:highlight w:val="none"/>
          <w:lang w:val="en-US" w:eastAsia="zh-CN"/>
        </w:rPr>
        <w:t>所产生的全部</w:t>
      </w:r>
      <w:r>
        <w:rPr>
          <w:rFonts w:hint="eastAsia" w:ascii="仿宋" w:hAnsi="仿宋" w:eastAsia="仿宋" w:cs="仿宋"/>
          <w:color w:val="000000"/>
          <w:sz w:val="24"/>
          <w:highlight w:val="none"/>
        </w:rPr>
        <w:t>费用由乙方承担</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lang w:val="en-US" w:eastAsia="zh-CN"/>
        </w:rPr>
        <w:t>从合同余款内扣除。</w:t>
      </w:r>
    </w:p>
    <w:p w14:paraId="2FEA899A">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3.发生紧急抢修事故的，乙方在接到事故通知后，应当立即到达事故现场抢修。</w:t>
      </w:r>
    </w:p>
    <w:p w14:paraId="267B6C2C">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4.对于涉及结构安全的质量问题，应当按照《房屋建筑工程质量保修办法》《特种设备安全监察条例》（国务院令第549号）和《特种设备安全监督检查办法》的规定，立即向当地主管部门报告，采取安全防范措施；由原设计单位或者有相应资质等级的设计单位提出保修方案，乙方实施保修。</w:t>
      </w:r>
    </w:p>
    <w:p w14:paraId="2B6220F4">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5.质量保修完成后，由甲方组织验收。</w:t>
      </w:r>
    </w:p>
    <w:p w14:paraId="3BCCFAF4">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6.保修费用由造成质量缺陷的责任方承担。</w:t>
      </w:r>
    </w:p>
    <w:p w14:paraId="691E63D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7.按照合同付款及决算相关要求，在工程竣工验收合格后2年后，在无索赔争议的情况下，由甲方组织、乙方参与共同对工程质保情况现场核验，核验无问题后，乙方在甲方处办理相关支付手续。</w:t>
      </w:r>
    </w:p>
    <w:p w14:paraId="72A792B1">
      <w:pPr>
        <w:pStyle w:val="4"/>
        <w:rPr>
          <w:rFonts w:hint="eastAsia" w:ascii="仿宋" w:hAnsi="仿宋" w:eastAsia="仿宋" w:cs="仿宋"/>
          <w:highlight w:val="none"/>
        </w:rPr>
      </w:pPr>
      <w:bookmarkStart w:id="12" w:name="_Toc146208014"/>
      <w:r>
        <w:rPr>
          <w:rFonts w:hint="eastAsia" w:ascii="仿宋" w:hAnsi="仿宋" w:eastAsia="仿宋" w:cs="仿宋"/>
          <w:highlight w:val="none"/>
        </w:rPr>
        <w:t>八、解决纠纷的方式</w:t>
      </w:r>
      <w:bookmarkEnd w:id="12"/>
    </w:p>
    <w:p w14:paraId="268F4641">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本合同在履行期间，双方发生争议时，在不影响工程进度的前提下，双方可采取协商解决或请有关部门进行调解。不愿通过协商、调解解决或者协商、调解不成时，双方均可向</w:t>
      </w:r>
      <w:r>
        <w:rPr>
          <w:rFonts w:hint="eastAsia" w:ascii="仿宋" w:hAnsi="仿宋" w:eastAsia="仿宋" w:cs="仿宋"/>
          <w:color w:val="000000"/>
          <w:sz w:val="24"/>
          <w:highlight w:val="none"/>
          <w:lang w:val="en-US" w:eastAsia="zh-CN"/>
        </w:rPr>
        <w:t>甲方所在地有管辖权的</w:t>
      </w:r>
      <w:r>
        <w:rPr>
          <w:rFonts w:hint="eastAsia" w:ascii="仿宋" w:hAnsi="仿宋" w:eastAsia="仿宋" w:cs="仿宋"/>
          <w:color w:val="000000"/>
          <w:sz w:val="24"/>
          <w:highlight w:val="none"/>
        </w:rPr>
        <w:t>人民法院提起诉讼。</w:t>
      </w:r>
    </w:p>
    <w:p w14:paraId="1E363635">
      <w:pPr>
        <w:pStyle w:val="4"/>
        <w:rPr>
          <w:rFonts w:hint="eastAsia" w:ascii="仿宋" w:hAnsi="仿宋" w:eastAsia="仿宋" w:cs="仿宋"/>
          <w:highlight w:val="none"/>
        </w:rPr>
      </w:pPr>
      <w:bookmarkStart w:id="13" w:name="_Toc146208015"/>
      <w:r>
        <w:rPr>
          <w:rFonts w:hint="eastAsia" w:ascii="仿宋" w:hAnsi="仿宋" w:eastAsia="仿宋" w:cs="仿宋"/>
          <w:highlight w:val="none"/>
        </w:rPr>
        <w:t>九、合同生效</w:t>
      </w:r>
      <w:bookmarkEnd w:id="13"/>
    </w:p>
    <w:p w14:paraId="0EA3E00D">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本合同自甲乙双方签字、盖章之日起生效。一式陆份，甲方执肆份，乙方执贰份，具有同等法律效力。</w:t>
      </w:r>
    </w:p>
    <w:p w14:paraId="2326C8D1">
      <w:pPr>
        <w:pStyle w:val="3"/>
        <w:spacing w:before="78" w:line="219" w:lineRule="auto"/>
        <w:ind w:left="0" w:leftChars="0" w:firstLine="0" w:firstLineChars="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甲方：</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乙方：</w:t>
      </w:r>
    </w:p>
    <w:p w14:paraId="04767482">
      <w:pPr>
        <w:widowControl/>
        <w:spacing w:line="240" w:lineRule="auto"/>
        <w:jc w:val="left"/>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 xml:space="preserve">法定代表人：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法定代表人：</w:t>
      </w:r>
    </w:p>
    <w:p w14:paraId="6B177E00">
      <w:pPr>
        <w:widowControl/>
        <w:spacing w:line="240" w:lineRule="auto"/>
        <w:jc w:val="left"/>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 xml:space="preserve">委托代理人：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委托代理人：</w:t>
      </w:r>
    </w:p>
    <w:p w14:paraId="7AC2508C">
      <w:pPr>
        <w:spacing w:line="360" w:lineRule="auto"/>
        <w:ind w:left="5040" w:hanging="5040" w:hangingChars="2100"/>
        <w:jc w:val="left"/>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地址：</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地址：</w:t>
      </w:r>
    </w:p>
    <w:p w14:paraId="1911BF1F">
      <w:pPr>
        <w:spacing w:line="360" w:lineRule="auto"/>
        <w:jc w:val="left"/>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sz w:val="24"/>
          <w:highlight w:val="none"/>
        </w:rPr>
        <w:t xml:space="preserve">电话：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电话： </w:t>
      </w:r>
    </w:p>
    <w:p w14:paraId="6496209B">
      <w:pPr>
        <w:spacing w:line="360" w:lineRule="auto"/>
        <w:ind w:left="0" w:firstLine="0" w:firstLineChars="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开户银行：</w:t>
      </w:r>
    </w:p>
    <w:p w14:paraId="67FBD8FF">
      <w:pPr>
        <w:spacing w:line="360" w:lineRule="auto"/>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银行账号：</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银行账号：</w:t>
      </w:r>
    </w:p>
    <w:p w14:paraId="6A5BA9A4">
      <w:pPr>
        <w:spacing w:line="360" w:lineRule="auto"/>
        <w:jc w:val="left"/>
        <w:rPr>
          <w:rFonts w:hint="eastAsia" w:ascii="仿宋" w:hAnsi="仿宋" w:eastAsia="仿宋" w:cs="仿宋"/>
          <w:b/>
          <w:sz w:val="32"/>
          <w:szCs w:val="32"/>
          <w:highlight w:val="none"/>
          <w:lang w:val="en-US" w:eastAsia="zh-CN"/>
        </w:rPr>
      </w:pP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                               年</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w:t>
      </w:r>
    </w:p>
    <w:p w14:paraId="73CEB3F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p>
    <w:p w14:paraId="6A1FEAB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p>
    <w:p w14:paraId="61F701E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p>
    <w:p w14:paraId="1D18025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p>
    <w:p w14:paraId="69EFC1A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p>
    <w:p w14:paraId="23DCDE8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pPr>
      <w:r>
        <w:rPr>
          <w:rFonts w:hint="eastAsia" w:ascii="仿宋" w:hAnsi="仿宋" w:eastAsia="仿宋" w:cs="仿宋"/>
          <w:b/>
          <w:szCs w:val="21"/>
          <w:highlight w:val="none"/>
        </w:rPr>
        <w:t>附件</w:t>
      </w:r>
      <w:bookmarkEnd w:id="0"/>
    </w:p>
    <w:p w14:paraId="358B22A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协议书附件：</w:t>
      </w:r>
    </w:p>
    <w:p w14:paraId="7F170E0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附件1：承包人承揽工程项目一览表</w:t>
      </w:r>
    </w:p>
    <w:p w14:paraId="47F45BC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专用合同条款附件：</w:t>
      </w:r>
    </w:p>
    <w:p w14:paraId="2B0ED0D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附件2：发包人供应材料设备一览表</w:t>
      </w:r>
    </w:p>
    <w:p w14:paraId="23AB546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附件3：工程质量保修书</w:t>
      </w:r>
    </w:p>
    <w:p w14:paraId="551BCBA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附件4：承包人主要施工管理人员表</w:t>
      </w:r>
    </w:p>
    <w:p w14:paraId="2EB1F53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sectPr>
          <w:pgSz w:w="11906" w:h="16838"/>
          <w:pgMar w:top="1418" w:right="1555" w:bottom="1418" w:left="1531" w:header="907" w:footer="907" w:gutter="0"/>
          <w:cols w:space="720" w:num="1"/>
          <w:docGrid w:type="lines" w:linePitch="312" w:charSpace="0"/>
        </w:sectPr>
      </w:pPr>
    </w:p>
    <w:p w14:paraId="2248C59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附件1：</w:t>
      </w:r>
    </w:p>
    <w:p w14:paraId="67E0BCB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承包人承揽工程项目一览表</w:t>
      </w:r>
    </w:p>
    <w:tbl>
      <w:tblPr>
        <w:tblStyle w:val="7"/>
        <w:tblW w:w="12799"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19"/>
        <w:gridCol w:w="3566"/>
        <w:gridCol w:w="2619"/>
        <w:gridCol w:w="2209"/>
        <w:gridCol w:w="1418"/>
        <w:gridCol w:w="1568"/>
      </w:tblGrid>
      <w:tr w14:paraId="10B0B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419" w:type="dxa"/>
            <w:tcBorders>
              <w:top w:val="single" w:color="auto" w:sz="12" w:space="0"/>
              <w:bottom w:val="double" w:color="auto" w:sz="6" w:space="0"/>
            </w:tcBorders>
            <w:vAlign w:val="center"/>
          </w:tcPr>
          <w:p w14:paraId="11F72B1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单位工程名称</w:t>
            </w:r>
          </w:p>
        </w:tc>
        <w:tc>
          <w:tcPr>
            <w:tcW w:w="3566" w:type="dxa"/>
            <w:tcBorders>
              <w:top w:val="single" w:color="auto" w:sz="12" w:space="0"/>
              <w:bottom w:val="double" w:color="auto" w:sz="6" w:space="0"/>
            </w:tcBorders>
            <w:vAlign w:val="center"/>
          </w:tcPr>
          <w:p w14:paraId="59E6C67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建设规模</w:t>
            </w:r>
          </w:p>
        </w:tc>
        <w:tc>
          <w:tcPr>
            <w:tcW w:w="2619" w:type="dxa"/>
            <w:tcBorders>
              <w:top w:val="single" w:color="auto" w:sz="12" w:space="0"/>
              <w:bottom w:val="double" w:color="auto" w:sz="6" w:space="0"/>
            </w:tcBorders>
            <w:vAlign w:val="center"/>
          </w:tcPr>
          <w:p w14:paraId="397A46E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建设内容</w:t>
            </w:r>
          </w:p>
        </w:tc>
        <w:tc>
          <w:tcPr>
            <w:tcW w:w="2209" w:type="dxa"/>
            <w:tcBorders>
              <w:top w:val="single" w:color="auto" w:sz="12" w:space="0"/>
              <w:bottom w:val="double" w:color="auto" w:sz="6" w:space="0"/>
            </w:tcBorders>
            <w:vAlign w:val="center"/>
          </w:tcPr>
          <w:p w14:paraId="09087D8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合同价格（元）</w:t>
            </w:r>
          </w:p>
        </w:tc>
        <w:tc>
          <w:tcPr>
            <w:tcW w:w="1418" w:type="dxa"/>
            <w:tcBorders>
              <w:top w:val="single" w:color="auto" w:sz="12" w:space="0"/>
              <w:bottom w:val="double" w:color="auto" w:sz="6" w:space="0"/>
            </w:tcBorders>
            <w:vAlign w:val="center"/>
          </w:tcPr>
          <w:p w14:paraId="238CD2A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开工日期</w:t>
            </w:r>
          </w:p>
        </w:tc>
        <w:tc>
          <w:tcPr>
            <w:tcW w:w="1568" w:type="dxa"/>
            <w:tcBorders>
              <w:top w:val="single" w:color="auto" w:sz="12" w:space="0"/>
              <w:bottom w:val="double" w:color="auto" w:sz="6" w:space="0"/>
            </w:tcBorders>
            <w:vAlign w:val="center"/>
          </w:tcPr>
          <w:p w14:paraId="52BB3C5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竣工日期</w:t>
            </w:r>
          </w:p>
        </w:tc>
      </w:tr>
      <w:tr w14:paraId="3A60F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double" w:color="auto" w:sz="6" w:space="0"/>
              <w:bottom w:val="single" w:color="auto" w:sz="6" w:space="0"/>
            </w:tcBorders>
            <w:vAlign w:val="center"/>
          </w:tcPr>
          <w:p w14:paraId="66D5BFD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double" w:color="auto" w:sz="6" w:space="0"/>
              <w:bottom w:val="single" w:color="auto" w:sz="6" w:space="0"/>
            </w:tcBorders>
            <w:vAlign w:val="center"/>
          </w:tcPr>
          <w:p w14:paraId="1A79EA6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double" w:color="auto" w:sz="6" w:space="0"/>
              <w:bottom w:val="single" w:color="auto" w:sz="6" w:space="0"/>
            </w:tcBorders>
            <w:vAlign w:val="center"/>
          </w:tcPr>
          <w:p w14:paraId="131ABF6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double" w:color="auto" w:sz="6" w:space="0"/>
              <w:bottom w:val="single" w:color="auto" w:sz="6" w:space="0"/>
            </w:tcBorders>
            <w:vAlign w:val="center"/>
          </w:tcPr>
          <w:p w14:paraId="1874F93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double" w:color="auto" w:sz="6" w:space="0"/>
              <w:bottom w:val="single" w:color="auto" w:sz="6" w:space="0"/>
            </w:tcBorders>
            <w:vAlign w:val="center"/>
          </w:tcPr>
          <w:p w14:paraId="4EE30E9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double" w:color="auto" w:sz="6" w:space="0"/>
              <w:bottom w:val="single" w:color="auto" w:sz="6" w:space="0"/>
            </w:tcBorders>
            <w:vAlign w:val="center"/>
          </w:tcPr>
          <w:p w14:paraId="6FFCC9E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20D75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14E3241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5247F82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40872D8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3E2DB67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0E4032A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447E092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D0B5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35DC778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7B72435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0FB9457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42D46E6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520BA13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4A4CC8D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636E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79C6E06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vAlign w:val="center"/>
          </w:tcPr>
          <w:p w14:paraId="6233DEF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vAlign w:val="center"/>
          </w:tcPr>
          <w:p w14:paraId="78CC30D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vAlign w:val="center"/>
          </w:tcPr>
          <w:p w14:paraId="42B0B20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vAlign w:val="center"/>
          </w:tcPr>
          <w:p w14:paraId="5059A86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vAlign w:val="center"/>
          </w:tcPr>
          <w:p w14:paraId="7A7BE16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CB6FA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685F2CD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3D3C6E2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752AA2A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26D360C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3BBDAF2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0A4589C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56F33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30D2057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vAlign w:val="center"/>
          </w:tcPr>
          <w:p w14:paraId="269CEDE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vAlign w:val="center"/>
          </w:tcPr>
          <w:p w14:paraId="7A72566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vAlign w:val="center"/>
          </w:tcPr>
          <w:p w14:paraId="428F052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vAlign w:val="center"/>
          </w:tcPr>
          <w:p w14:paraId="469DC6F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vAlign w:val="center"/>
          </w:tcPr>
          <w:p w14:paraId="26B3859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1C889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4E70E11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72B7BBF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731CC06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7803E27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411643A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41E34E3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BC9D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2CE8498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4D38E19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710AF58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3448782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55C6B54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447F0A3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1CAF0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299E185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vAlign w:val="center"/>
          </w:tcPr>
          <w:p w14:paraId="321BE88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vAlign w:val="center"/>
          </w:tcPr>
          <w:p w14:paraId="036A384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vAlign w:val="center"/>
          </w:tcPr>
          <w:p w14:paraId="7B8B331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vAlign w:val="center"/>
          </w:tcPr>
          <w:p w14:paraId="1D4AE50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vAlign w:val="center"/>
          </w:tcPr>
          <w:p w14:paraId="064C11C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395F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3693471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tcBorders>
              <w:top w:val="nil"/>
            </w:tcBorders>
            <w:vAlign w:val="center"/>
          </w:tcPr>
          <w:p w14:paraId="308B9E6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tcBorders>
              <w:top w:val="nil"/>
            </w:tcBorders>
            <w:vAlign w:val="center"/>
          </w:tcPr>
          <w:p w14:paraId="4291525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tcBorders>
              <w:top w:val="nil"/>
            </w:tcBorders>
            <w:vAlign w:val="center"/>
          </w:tcPr>
          <w:p w14:paraId="7436452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tcBorders>
              <w:top w:val="nil"/>
            </w:tcBorders>
            <w:vAlign w:val="center"/>
          </w:tcPr>
          <w:p w14:paraId="69E20E0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tcBorders>
              <w:top w:val="nil"/>
            </w:tcBorders>
            <w:vAlign w:val="center"/>
          </w:tcPr>
          <w:p w14:paraId="6631607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92489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2B64CA0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566" w:type="dxa"/>
            <w:vAlign w:val="center"/>
          </w:tcPr>
          <w:p w14:paraId="63431F3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619" w:type="dxa"/>
            <w:vAlign w:val="center"/>
          </w:tcPr>
          <w:p w14:paraId="7364835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209" w:type="dxa"/>
            <w:vAlign w:val="center"/>
          </w:tcPr>
          <w:p w14:paraId="7676D6E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418" w:type="dxa"/>
            <w:vAlign w:val="center"/>
          </w:tcPr>
          <w:p w14:paraId="7798CF4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1568" w:type="dxa"/>
            <w:vAlign w:val="center"/>
          </w:tcPr>
          <w:p w14:paraId="13B5962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bl>
    <w:p w14:paraId="1DCEA90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b/>
          <w:szCs w:val="21"/>
          <w:highlight w:val="none"/>
        </w:rPr>
        <w:sectPr>
          <w:headerReference r:id="rId3" w:type="first"/>
          <w:footerReference r:id="rId4" w:type="first"/>
          <w:pgSz w:w="16838" w:h="11906" w:orient="landscape"/>
          <w:pgMar w:top="1134" w:right="1418" w:bottom="1531" w:left="1418" w:header="907" w:footer="907" w:gutter="0"/>
          <w:cols w:space="720" w:num="1"/>
          <w:titlePg/>
          <w:docGrid w:type="linesAndChars" w:linePitch="312" w:charSpace="0"/>
        </w:sectPr>
      </w:pPr>
    </w:p>
    <w:p w14:paraId="620483D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w:t>
      </w:r>
      <w:bookmarkStart w:id="14" w:name="_Toc296891053"/>
      <w:bookmarkStart w:id="15" w:name="_Toc296503225"/>
      <w:bookmarkStart w:id="16" w:name="_Toc296891265"/>
      <w:bookmarkStart w:id="17" w:name="_Toc296347224"/>
      <w:bookmarkStart w:id="18" w:name="_Toc296944564"/>
      <w:bookmarkStart w:id="19" w:name="_Toc267261692"/>
      <w:bookmarkStart w:id="20" w:name="_Toc296346726"/>
      <w:r>
        <w:rPr>
          <w:rFonts w:hint="eastAsia" w:ascii="仿宋" w:hAnsi="仿宋" w:eastAsia="仿宋" w:cs="仿宋"/>
          <w:szCs w:val="21"/>
          <w:highlight w:val="none"/>
        </w:rPr>
        <w:t>件2：</w:t>
      </w:r>
    </w:p>
    <w:bookmarkEnd w:id="14"/>
    <w:bookmarkEnd w:id="15"/>
    <w:bookmarkEnd w:id="16"/>
    <w:bookmarkEnd w:id="17"/>
    <w:bookmarkEnd w:id="18"/>
    <w:bookmarkEnd w:id="19"/>
    <w:bookmarkEnd w:id="20"/>
    <w:p w14:paraId="5C9FE1B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lang w:eastAsia="zh-CN"/>
        </w:rPr>
        <w:t>承包</w:t>
      </w:r>
      <w:r>
        <w:rPr>
          <w:rFonts w:hint="eastAsia" w:ascii="仿宋" w:hAnsi="仿宋" w:eastAsia="仿宋" w:cs="仿宋"/>
          <w:szCs w:val="21"/>
          <w:highlight w:val="none"/>
        </w:rPr>
        <w:t>人供应材料设备一览表</w:t>
      </w:r>
    </w:p>
    <w:tbl>
      <w:tblPr>
        <w:tblStyle w:val="7"/>
        <w:tblW w:w="471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76"/>
        <w:gridCol w:w="922"/>
        <w:gridCol w:w="904"/>
        <w:gridCol w:w="637"/>
        <w:gridCol w:w="637"/>
        <w:gridCol w:w="577"/>
        <w:gridCol w:w="957"/>
        <w:gridCol w:w="738"/>
        <w:gridCol w:w="861"/>
        <w:gridCol w:w="616"/>
        <w:gridCol w:w="464"/>
      </w:tblGrid>
      <w:tr w14:paraId="70E62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65" w:type="pct"/>
            <w:tcBorders>
              <w:top w:val="single" w:color="auto" w:sz="12" w:space="0"/>
              <w:bottom w:val="double" w:color="auto" w:sz="6" w:space="0"/>
            </w:tcBorders>
            <w:vAlign w:val="center"/>
          </w:tcPr>
          <w:p w14:paraId="22AE425C">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584" w:type="pct"/>
            <w:tcBorders>
              <w:top w:val="single" w:color="auto" w:sz="12" w:space="0"/>
              <w:bottom w:val="double" w:color="auto" w:sz="6" w:space="0"/>
            </w:tcBorders>
            <w:vAlign w:val="center"/>
          </w:tcPr>
          <w:p w14:paraId="53AACAE0">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材料、设备品种</w:t>
            </w:r>
          </w:p>
        </w:tc>
        <w:tc>
          <w:tcPr>
            <w:tcW w:w="572" w:type="pct"/>
            <w:tcBorders>
              <w:top w:val="single" w:color="auto" w:sz="12" w:space="0"/>
              <w:bottom w:val="double" w:color="auto" w:sz="6" w:space="0"/>
            </w:tcBorders>
            <w:vAlign w:val="center"/>
          </w:tcPr>
          <w:p w14:paraId="62DFE7F1">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规格型号</w:t>
            </w:r>
          </w:p>
        </w:tc>
        <w:tc>
          <w:tcPr>
            <w:tcW w:w="403" w:type="pct"/>
            <w:tcBorders>
              <w:top w:val="single" w:color="auto" w:sz="12" w:space="0"/>
              <w:bottom w:val="double" w:color="auto" w:sz="6" w:space="0"/>
            </w:tcBorders>
            <w:vAlign w:val="center"/>
          </w:tcPr>
          <w:p w14:paraId="556EED94">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品牌</w:t>
            </w:r>
          </w:p>
        </w:tc>
        <w:tc>
          <w:tcPr>
            <w:tcW w:w="403" w:type="pct"/>
            <w:tcBorders>
              <w:top w:val="single" w:color="auto" w:sz="12" w:space="0"/>
              <w:bottom w:val="double" w:color="auto" w:sz="6" w:space="0"/>
            </w:tcBorders>
            <w:vAlign w:val="center"/>
          </w:tcPr>
          <w:p w14:paraId="3AB26ACF">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365" w:type="pct"/>
            <w:tcBorders>
              <w:top w:val="single" w:color="auto" w:sz="12" w:space="0"/>
              <w:bottom w:val="double" w:color="auto" w:sz="6" w:space="0"/>
            </w:tcBorders>
            <w:vAlign w:val="center"/>
          </w:tcPr>
          <w:p w14:paraId="7E64D5D5">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606" w:type="pct"/>
            <w:tcBorders>
              <w:top w:val="single" w:color="auto" w:sz="12" w:space="0"/>
              <w:bottom w:val="double" w:color="auto" w:sz="6" w:space="0"/>
            </w:tcBorders>
            <w:vAlign w:val="center"/>
          </w:tcPr>
          <w:p w14:paraId="1BA41706">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单价（元）</w:t>
            </w:r>
          </w:p>
        </w:tc>
        <w:tc>
          <w:tcPr>
            <w:tcW w:w="467" w:type="pct"/>
            <w:tcBorders>
              <w:top w:val="single" w:color="auto" w:sz="12" w:space="0"/>
              <w:bottom w:val="double" w:color="auto" w:sz="6" w:space="0"/>
            </w:tcBorders>
            <w:vAlign w:val="center"/>
          </w:tcPr>
          <w:p w14:paraId="22560896">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质量</w:t>
            </w:r>
          </w:p>
          <w:p w14:paraId="1F250840">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等级</w:t>
            </w:r>
          </w:p>
        </w:tc>
        <w:tc>
          <w:tcPr>
            <w:tcW w:w="545" w:type="pct"/>
            <w:tcBorders>
              <w:top w:val="single" w:color="auto" w:sz="12" w:space="0"/>
              <w:bottom w:val="double" w:color="auto" w:sz="6" w:space="0"/>
            </w:tcBorders>
            <w:vAlign w:val="center"/>
          </w:tcPr>
          <w:p w14:paraId="638639B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供应时间</w:t>
            </w:r>
          </w:p>
        </w:tc>
        <w:tc>
          <w:tcPr>
            <w:tcW w:w="390" w:type="pct"/>
            <w:tcBorders>
              <w:top w:val="single" w:color="auto" w:sz="12" w:space="0"/>
              <w:bottom w:val="double" w:color="auto" w:sz="6" w:space="0"/>
            </w:tcBorders>
            <w:vAlign w:val="center"/>
          </w:tcPr>
          <w:p w14:paraId="2581763D">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送达</w:t>
            </w:r>
          </w:p>
          <w:p w14:paraId="63E42806">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r>
              <w:rPr>
                <w:rFonts w:hint="eastAsia" w:ascii="仿宋" w:hAnsi="仿宋" w:eastAsia="仿宋" w:cs="仿宋"/>
                <w:szCs w:val="21"/>
                <w:highlight w:val="none"/>
              </w:rPr>
              <w:t>地点</w:t>
            </w:r>
          </w:p>
        </w:tc>
        <w:tc>
          <w:tcPr>
            <w:tcW w:w="294" w:type="pct"/>
            <w:tcBorders>
              <w:top w:val="single" w:color="auto" w:sz="12" w:space="0"/>
              <w:bottom w:val="double" w:color="auto" w:sz="6" w:space="0"/>
            </w:tcBorders>
            <w:vAlign w:val="center"/>
          </w:tcPr>
          <w:p w14:paraId="028F23E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19734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tcBorders>
              <w:top w:val="double" w:color="auto" w:sz="6" w:space="0"/>
              <w:bottom w:val="single" w:color="auto" w:sz="6" w:space="0"/>
            </w:tcBorders>
            <w:vAlign w:val="center"/>
          </w:tcPr>
          <w:p w14:paraId="23230D48">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584" w:type="pct"/>
            <w:tcBorders>
              <w:top w:val="double" w:color="auto" w:sz="6" w:space="0"/>
              <w:bottom w:val="single" w:color="auto" w:sz="6" w:space="0"/>
            </w:tcBorders>
            <w:vAlign w:val="center"/>
          </w:tcPr>
          <w:p w14:paraId="5FEFEB17">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572" w:type="pct"/>
            <w:tcBorders>
              <w:top w:val="double" w:color="auto" w:sz="6" w:space="0"/>
              <w:bottom w:val="single" w:color="auto" w:sz="6" w:space="0"/>
            </w:tcBorders>
            <w:vAlign w:val="center"/>
          </w:tcPr>
          <w:p w14:paraId="47319D5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403" w:type="pct"/>
            <w:tcBorders>
              <w:top w:val="double" w:color="auto" w:sz="6" w:space="0"/>
              <w:bottom w:val="single" w:color="auto" w:sz="6" w:space="0"/>
            </w:tcBorders>
            <w:vAlign w:val="center"/>
          </w:tcPr>
          <w:p w14:paraId="774B804F">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403" w:type="pct"/>
            <w:tcBorders>
              <w:top w:val="double" w:color="auto" w:sz="6" w:space="0"/>
              <w:bottom w:val="single" w:color="auto" w:sz="6" w:space="0"/>
            </w:tcBorders>
            <w:vAlign w:val="center"/>
          </w:tcPr>
          <w:p w14:paraId="7DF20A3C">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365" w:type="pct"/>
            <w:tcBorders>
              <w:top w:val="double" w:color="auto" w:sz="6" w:space="0"/>
              <w:bottom w:val="single" w:color="auto" w:sz="6" w:space="0"/>
            </w:tcBorders>
            <w:vAlign w:val="center"/>
          </w:tcPr>
          <w:p w14:paraId="78F727C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606" w:type="pct"/>
            <w:tcBorders>
              <w:top w:val="double" w:color="auto" w:sz="6" w:space="0"/>
              <w:bottom w:val="single" w:color="auto" w:sz="6" w:space="0"/>
            </w:tcBorders>
            <w:vAlign w:val="center"/>
          </w:tcPr>
          <w:p w14:paraId="2AF81636">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467" w:type="pct"/>
            <w:tcBorders>
              <w:top w:val="double" w:color="auto" w:sz="6" w:space="0"/>
              <w:bottom w:val="single" w:color="auto" w:sz="6" w:space="0"/>
            </w:tcBorders>
            <w:vAlign w:val="center"/>
          </w:tcPr>
          <w:p w14:paraId="4B02793C">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545" w:type="pct"/>
            <w:tcBorders>
              <w:top w:val="double" w:color="auto" w:sz="6" w:space="0"/>
              <w:bottom w:val="single" w:color="auto" w:sz="6" w:space="0"/>
            </w:tcBorders>
            <w:vAlign w:val="center"/>
          </w:tcPr>
          <w:p w14:paraId="607771E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390" w:type="pct"/>
            <w:tcBorders>
              <w:top w:val="double" w:color="auto" w:sz="6" w:space="0"/>
              <w:bottom w:val="single" w:color="auto" w:sz="6" w:space="0"/>
            </w:tcBorders>
            <w:vAlign w:val="center"/>
          </w:tcPr>
          <w:p w14:paraId="238C56B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zCs w:val="21"/>
                <w:highlight w:val="none"/>
              </w:rPr>
            </w:pPr>
          </w:p>
        </w:tc>
        <w:tc>
          <w:tcPr>
            <w:tcW w:w="294" w:type="pct"/>
            <w:tcBorders>
              <w:top w:val="double" w:color="auto" w:sz="6" w:space="0"/>
              <w:bottom w:val="single" w:color="auto" w:sz="6" w:space="0"/>
            </w:tcBorders>
            <w:vAlign w:val="center"/>
          </w:tcPr>
          <w:p w14:paraId="274A79E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C6D9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tcBorders>
              <w:top w:val="nil"/>
            </w:tcBorders>
            <w:vAlign w:val="center"/>
          </w:tcPr>
          <w:p w14:paraId="1634834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tcBorders>
              <w:top w:val="nil"/>
            </w:tcBorders>
            <w:vAlign w:val="center"/>
          </w:tcPr>
          <w:p w14:paraId="7E560D6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tcBorders>
              <w:top w:val="nil"/>
            </w:tcBorders>
            <w:vAlign w:val="center"/>
          </w:tcPr>
          <w:p w14:paraId="5380997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tcBorders>
              <w:top w:val="nil"/>
            </w:tcBorders>
            <w:vAlign w:val="center"/>
          </w:tcPr>
          <w:p w14:paraId="4DE75CC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tcBorders>
              <w:top w:val="nil"/>
            </w:tcBorders>
            <w:vAlign w:val="center"/>
          </w:tcPr>
          <w:p w14:paraId="4B27305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tcBorders>
              <w:top w:val="nil"/>
            </w:tcBorders>
            <w:vAlign w:val="center"/>
          </w:tcPr>
          <w:p w14:paraId="1D9D6DE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tcBorders>
              <w:top w:val="nil"/>
            </w:tcBorders>
            <w:vAlign w:val="center"/>
          </w:tcPr>
          <w:p w14:paraId="044A8C8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tcBorders>
              <w:top w:val="nil"/>
            </w:tcBorders>
            <w:vAlign w:val="center"/>
          </w:tcPr>
          <w:p w14:paraId="3AA15D5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tcBorders>
              <w:top w:val="nil"/>
            </w:tcBorders>
            <w:vAlign w:val="center"/>
          </w:tcPr>
          <w:p w14:paraId="77F3FCE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tcBorders>
              <w:top w:val="nil"/>
            </w:tcBorders>
            <w:vAlign w:val="center"/>
          </w:tcPr>
          <w:p w14:paraId="7BC2F18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tcBorders>
              <w:top w:val="nil"/>
            </w:tcBorders>
            <w:vAlign w:val="center"/>
          </w:tcPr>
          <w:p w14:paraId="5C5DF5C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C79B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8422FF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05D1E72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779ADEB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1B9B196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6BC356D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422C406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19CBF98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56B0191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5A254D9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2843645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02691A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35D1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48B98E9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654D445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1C2B504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3C19D8C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565F7F8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106B22F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7307ABC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600F410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5472339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6A4ACA6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1375F7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2A90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6A56BB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2F655D3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6D76B15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02FFE1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D43DBA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320B96E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0CEAF53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259F4EF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2AFDB0B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580FD3D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261082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1391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9DF741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26A5F30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3257057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65466BE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4F4EF59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3AAABBC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56FA4DD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554E498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702DF61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3FE0AE0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BD6142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2936B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376DD4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5B07589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5D5DDF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499BF17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4F883EF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039AC54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5DF210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65B4108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743EF8D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3A0C0EB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73CAF19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18162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0B67D1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221F037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2376562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25D8E3E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362B4B5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1D231E9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639B662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5AA0054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7E73CA9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0E4C9CB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EDEE72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F5A9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8DD452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5044F9F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1BD1102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12DA674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6A0BD82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4563F05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62B86FE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4E05DF9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46D990F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4B0A551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15BFD6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1631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60C39E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0248CE6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5A3421C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05F1DD0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47877B7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6CA903F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128BCD9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4883AE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47FA926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55BE7D4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6F62DEB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6B91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6BA36C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3E420F4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08899AC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40B52FC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194C24F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5A1DEDB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366A7D4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7D97C27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066BDB1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75CBDEE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55E228A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2F93D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5712E67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5CAEA06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5B5BBA7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52B3086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254E67A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7CB148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32587A0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58FC8B9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1E71686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4E9AF1E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74DE33D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2F970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F9FBEA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7567629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7030E2E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2E2462E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0560B49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1FF2667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1E33E4B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06CAEA9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0CD16F4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660CF7C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08C9E44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5194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99375D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2ECB294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4911067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16D5B21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06467E9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6F4E47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0F031F2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17B2AE1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2B504B8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4DD5B23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780224D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C909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28090A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5EE4589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3806D6A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8282DE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11F42A4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199794D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27D2E45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36A994F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400C428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3E826F0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37507DB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4E97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269E450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27D95B5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2425050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09839FB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89AAF4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7DE7177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747871F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10E82A1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5EDA335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73D2CCE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26E91DD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F1D7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F47F2D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156B960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4D8DA96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187DC6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53B3840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1CFAC7A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0F3AD0E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380CC9A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55A3C63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7E34B70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2397792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17CB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D1165E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84" w:type="pct"/>
            <w:vAlign w:val="center"/>
          </w:tcPr>
          <w:p w14:paraId="5C63B79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2" w:type="pct"/>
            <w:vAlign w:val="center"/>
          </w:tcPr>
          <w:p w14:paraId="7672FDC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70BD711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03" w:type="pct"/>
            <w:vAlign w:val="center"/>
          </w:tcPr>
          <w:p w14:paraId="69BE37F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65" w:type="pct"/>
            <w:vAlign w:val="center"/>
          </w:tcPr>
          <w:p w14:paraId="442F6AA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606" w:type="pct"/>
            <w:vAlign w:val="center"/>
          </w:tcPr>
          <w:p w14:paraId="4031369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467" w:type="pct"/>
            <w:vAlign w:val="center"/>
          </w:tcPr>
          <w:p w14:paraId="31E68E6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45" w:type="pct"/>
            <w:vAlign w:val="center"/>
          </w:tcPr>
          <w:p w14:paraId="6359D0B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390" w:type="pct"/>
            <w:vAlign w:val="center"/>
          </w:tcPr>
          <w:p w14:paraId="5D56DC1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94" w:type="pct"/>
            <w:vAlign w:val="center"/>
          </w:tcPr>
          <w:p w14:paraId="4E5625A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bl>
    <w:p w14:paraId="0190046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6B1632E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59D7562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5F44F8F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附</w:t>
      </w:r>
      <w:bookmarkStart w:id="21" w:name="_Toc296891054"/>
      <w:bookmarkStart w:id="22" w:name="_Toc296944565"/>
      <w:bookmarkStart w:id="23" w:name="_Toc296347225"/>
      <w:bookmarkStart w:id="24" w:name="_Toc296891266"/>
      <w:bookmarkStart w:id="25" w:name="_Toc296346727"/>
      <w:bookmarkStart w:id="26" w:name="_Toc296503226"/>
      <w:bookmarkStart w:id="27" w:name="_Toc267261693"/>
      <w:r>
        <w:rPr>
          <w:rFonts w:hint="eastAsia" w:ascii="仿宋" w:hAnsi="仿宋" w:eastAsia="仿宋" w:cs="仿宋"/>
          <w:szCs w:val="21"/>
          <w:highlight w:val="none"/>
        </w:rPr>
        <w:t>件3：</w:t>
      </w:r>
      <w:bookmarkEnd w:id="21"/>
      <w:bookmarkEnd w:id="22"/>
      <w:bookmarkEnd w:id="23"/>
      <w:bookmarkEnd w:id="24"/>
      <w:bookmarkEnd w:id="25"/>
      <w:bookmarkEnd w:id="26"/>
      <w:bookmarkEnd w:id="27"/>
      <w:r>
        <w:rPr>
          <w:rFonts w:hint="eastAsia" w:ascii="仿宋" w:hAnsi="仿宋" w:eastAsia="仿宋" w:cs="仿宋"/>
          <w:szCs w:val="21"/>
          <w:highlight w:val="none"/>
        </w:rPr>
        <w:t xml:space="preserve">    </w:t>
      </w:r>
    </w:p>
    <w:p w14:paraId="5ABD659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工程质量保修书</w:t>
      </w:r>
    </w:p>
    <w:p w14:paraId="165D77E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发包人（全称）：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72C2EFB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承包人（全称）：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7090B33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发包人和承包人根据《中华人民共和国建筑法》和《建设工程质量管理条例》，经协商一致就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eastAsia="zh-CN"/>
        </w:rPr>
        <w:t>西安市精神卫生中心</w:t>
      </w:r>
      <w:r>
        <w:rPr>
          <w:rFonts w:hint="eastAsia" w:ascii="仿宋" w:hAnsi="仿宋" w:eastAsia="仿宋" w:cs="仿宋"/>
          <w:szCs w:val="21"/>
          <w:highlight w:val="none"/>
          <w:u w:val="single"/>
        </w:rPr>
        <w:t xml:space="preserve">维修改造工程  </w:t>
      </w:r>
      <w:r>
        <w:rPr>
          <w:rFonts w:hint="eastAsia" w:ascii="仿宋" w:hAnsi="仿宋" w:eastAsia="仿宋" w:cs="仿宋"/>
          <w:szCs w:val="21"/>
          <w:highlight w:val="none"/>
        </w:rPr>
        <w:t>（工程全称）签订工程质量保修书。</w:t>
      </w:r>
    </w:p>
    <w:p w14:paraId="59C3185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一、工程质量保修范围和内容</w:t>
      </w:r>
    </w:p>
    <w:p w14:paraId="452FA0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承包人在质量保修期内，按照有关法律规定和合同约定，承担工程质量保修责任。</w:t>
      </w:r>
    </w:p>
    <w:p w14:paraId="22D6985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质量保修范围包括</w:t>
      </w:r>
      <w:r>
        <w:rPr>
          <w:rFonts w:hint="eastAsia" w:ascii="仿宋" w:hAnsi="仿宋" w:eastAsia="仿宋" w:cs="仿宋"/>
          <w:szCs w:val="21"/>
          <w:highlight w:val="none"/>
          <w:lang w:eastAsia="zh-CN"/>
        </w:rPr>
        <w:t>本项目的所有施工工程。</w:t>
      </w:r>
      <w:r>
        <w:rPr>
          <w:rFonts w:hint="eastAsia" w:ascii="仿宋" w:hAnsi="仿宋" w:eastAsia="仿宋" w:cs="仿宋"/>
          <w:szCs w:val="21"/>
          <w:highlight w:val="none"/>
        </w:rPr>
        <w:t>具体保修的内容，双方约定如下：</w:t>
      </w:r>
    </w:p>
    <w:p w14:paraId="52B3464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w:t>
      </w:r>
      <w:r>
        <w:rPr>
          <w:rFonts w:hint="eastAsia" w:ascii="仿宋" w:hAnsi="仿宋" w:eastAsia="仿宋" w:cs="仿宋"/>
          <w:szCs w:val="21"/>
          <w:highlight w:val="none"/>
          <w:u w:val="single"/>
        </w:rPr>
        <w:t xml:space="preserve">  承包人施工的内容进行保修，凡属承包人施工质量问题引起的维修，均由承包人负责保修。因发包人或业主使用不当造成的返修费用由责任方负责。 </w:t>
      </w:r>
    </w:p>
    <w:p w14:paraId="75C4F39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b/>
          <w:szCs w:val="21"/>
          <w:highlight w:val="none"/>
        </w:rPr>
        <w:t>　　</w:t>
      </w:r>
      <w:r>
        <w:rPr>
          <w:rFonts w:hint="eastAsia" w:ascii="仿宋" w:hAnsi="仿宋" w:eastAsia="仿宋" w:cs="仿宋"/>
          <w:szCs w:val="21"/>
          <w:highlight w:val="none"/>
        </w:rPr>
        <w:t>二、质量保修期</w:t>
      </w:r>
    </w:p>
    <w:p w14:paraId="1CADBFA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根据《建设工程质量管理条例》及有关规定，工程的质量保修期如下：</w:t>
      </w:r>
    </w:p>
    <w:p w14:paraId="6CC475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w:t>
      </w:r>
      <w:r>
        <w:rPr>
          <w:rFonts w:hint="eastAsia" w:ascii="仿宋" w:hAnsi="仿宋" w:eastAsia="仿宋" w:cs="仿宋"/>
          <w:szCs w:val="21"/>
          <w:highlight w:val="none"/>
          <w:lang w:eastAsia="zh-CN"/>
        </w:rPr>
        <w:t>防水工程</w:t>
      </w:r>
      <w:r>
        <w:rPr>
          <w:rFonts w:hint="eastAsia" w:ascii="仿宋" w:hAnsi="仿宋" w:eastAsia="仿宋" w:cs="仿宋"/>
          <w:szCs w:val="21"/>
          <w:highlight w:val="none"/>
        </w:rPr>
        <w:t>为</w:t>
      </w:r>
      <w:r>
        <w:rPr>
          <w:rFonts w:hint="eastAsia" w:ascii="仿宋" w:hAnsi="仿宋" w:eastAsia="仿宋" w:cs="仿宋"/>
          <w:szCs w:val="21"/>
          <w:highlight w:val="none"/>
          <w:u w:val="single"/>
        </w:rPr>
        <w:t xml:space="preserve">  5   </w:t>
      </w:r>
      <w:r>
        <w:rPr>
          <w:rFonts w:hint="eastAsia" w:ascii="仿宋" w:hAnsi="仿宋" w:eastAsia="仿宋" w:cs="仿宋"/>
          <w:szCs w:val="21"/>
          <w:highlight w:val="none"/>
        </w:rPr>
        <w:t>年；</w:t>
      </w:r>
    </w:p>
    <w:p w14:paraId="15E7B17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w:t>
      </w:r>
      <w:r>
        <w:rPr>
          <w:rFonts w:hint="eastAsia" w:ascii="仿宋" w:hAnsi="仿宋" w:eastAsia="仿宋" w:cs="仿宋"/>
          <w:szCs w:val="21"/>
          <w:highlight w:val="none"/>
          <w:lang w:eastAsia="zh-CN"/>
        </w:rPr>
        <w:t>其他</w:t>
      </w:r>
      <w:r>
        <w:rPr>
          <w:rFonts w:hint="eastAsia" w:ascii="仿宋" w:hAnsi="仿宋" w:eastAsia="仿宋" w:cs="仿宋"/>
          <w:szCs w:val="21"/>
          <w:highlight w:val="none"/>
        </w:rPr>
        <w:t>工程为</w:t>
      </w:r>
      <w:r>
        <w:rPr>
          <w:rFonts w:hint="eastAsia" w:ascii="仿宋" w:hAnsi="仿宋" w:eastAsia="仿宋" w:cs="仿宋"/>
          <w:szCs w:val="21"/>
          <w:highlight w:val="none"/>
          <w:u w:val="single"/>
        </w:rPr>
        <w:t xml:space="preserve">   2   </w:t>
      </w:r>
      <w:r>
        <w:rPr>
          <w:rFonts w:hint="eastAsia" w:ascii="仿宋" w:hAnsi="仿宋" w:eastAsia="仿宋" w:cs="仿宋"/>
          <w:szCs w:val="21"/>
          <w:highlight w:val="none"/>
        </w:rPr>
        <w:t>年；</w:t>
      </w:r>
    </w:p>
    <w:p w14:paraId="75B1618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．其他项目保修期限约定如下：</w:t>
      </w:r>
    </w:p>
    <w:p w14:paraId="55D98F2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 xml:space="preserve">   按照第279号令《建设工程质量管理条》相关规定执行（1）属于保修范围和内容的项目，承包人因在接到修理通知之日后7天内派人修理。承包人不在约定期限内派人修理，发包人可委托其他人修理，保修费用从质量保修金内扣除。（2）发生须紧急抢修事（如上水跑水、暖气漏水漏气、燃气漏气等）承包人接到事故通知后，应立即到达事故现场抢修。承包人事故质量引起的事故，抢修费用由发包人承担。（3）在国家规定的工程合理使用期限内，承包人取保地基基础工程和主体结构的质量，因承包人原因致使工程合理使用期限内造成人身和财产损害的，承包人因承担损害赔偿责任。（4）质量保修完成后，由发包人组织验收。</w:t>
      </w:r>
    </w:p>
    <w:p w14:paraId="06B4299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质量保修期自工程竣工验收合格之日起计算。</w:t>
      </w:r>
    </w:p>
    <w:p w14:paraId="2DE5076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三、缺陷责任期</w:t>
      </w:r>
    </w:p>
    <w:p w14:paraId="55999F3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工程缺陷责任期为</w:t>
      </w:r>
      <w:r>
        <w:rPr>
          <w:rFonts w:hint="eastAsia" w:ascii="仿宋" w:hAnsi="仿宋" w:eastAsia="仿宋" w:cs="仿宋"/>
          <w:szCs w:val="21"/>
          <w:highlight w:val="none"/>
          <w:u w:val="single"/>
        </w:rPr>
        <w:t xml:space="preserve">  24  </w:t>
      </w:r>
      <w:r>
        <w:rPr>
          <w:rFonts w:hint="eastAsia" w:ascii="仿宋" w:hAnsi="仿宋" w:eastAsia="仿宋" w:cs="仿宋"/>
          <w:szCs w:val="21"/>
          <w:highlight w:val="none"/>
        </w:rPr>
        <w:t>个月，缺陷责任期自工程通过竣工验收之日起计算。单位工程先于全部工程进行验收，单位工程缺陷责任期自单位工程验收合格之日起算。</w:t>
      </w:r>
    </w:p>
    <w:p w14:paraId="4B9BAFD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四、质量保修责任</w:t>
      </w:r>
    </w:p>
    <w:p w14:paraId="5A6E088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1．属于保修范围、内容的项目，承包人应当在接到保修通知之日起7天内派人保修。承包人不在约定期限内派人保修的，发包人可以委托他人修理。</w:t>
      </w:r>
    </w:p>
    <w:p w14:paraId="656F7D1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2．发生紧急事故需抢修的，承包人在接到事故通知后，应当立即到达事故现场抢修。</w:t>
      </w:r>
    </w:p>
    <w:p w14:paraId="6D6F4BD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D180FD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4．质量保修完成后，由发包人组织验收。</w:t>
      </w:r>
    </w:p>
    <w:p w14:paraId="7F271CC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五、保修费用</w:t>
      </w:r>
    </w:p>
    <w:p w14:paraId="52AAC91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　　保修费用由造成质量缺陷的责任方承担。</w:t>
      </w:r>
    </w:p>
    <w:p w14:paraId="20EC688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六、双方约定的其他工程质量保修事项：</w:t>
      </w:r>
      <w:r>
        <w:rPr>
          <w:rFonts w:hint="eastAsia" w:ascii="仿宋" w:hAnsi="仿宋" w:eastAsia="仿宋" w:cs="仿宋"/>
          <w:szCs w:val="21"/>
          <w:highlight w:val="none"/>
          <w:u w:val="single"/>
        </w:rPr>
        <w:t xml:space="preserve">                                       </w:t>
      </w:r>
    </w:p>
    <w:p w14:paraId="1A0EACD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8BB2B8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工程质量保修书由发包人、承包人在工程竣工验收前共同签署，作为施工合同附件，其有效期限至保修期满。</w:t>
      </w:r>
    </w:p>
    <w:p w14:paraId="0FAFFFE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3324487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发包人(公章)：</w:t>
      </w:r>
      <w:r>
        <w:rPr>
          <w:rFonts w:hint="eastAsia" w:ascii="仿宋" w:hAnsi="仿宋" w:eastAsia="仿宋" w:cs="仿宋"/>
          <w:szCs w:val="21"/>
          <w:highlight w:val="none"/>
          <w:u w:val="single"/>
        </w:rPr>
        <w:t xml:space="preserve">        </w:t>
      </w:r>
      <w:r>
        <w:rPr>
          <w:rFonts w:hint="eastAsia" w:ascii="仿宋" w:hAnsi="仿宋" w:eastAsia="仿宋" w:cs="仿宋"/>
          <w:szCs w:val="21"/>
          <w:highlight w:val="none"/>
        </w:rPr>
        <w:t xml:space="preserve">           承包人(公章)：</w:t>
      </w:r>
      <w:r>
        <w:rPr>
          <w:rFonts w:hint="eastAsia" w:ascii="仿宋" w:hAnsi="仿宋" w:eastAsia="仿宋" w:cs="仿宋"/>
          <w:szCs w:val="21"/>
          <w:highlight w:val="none"/>
          <w:u w:val="single"/>
        </w:rPr>
        <w:t xml:space="preserve">           </w:t>
      </w:r>
    </w:p>
    <w:p w14:paraId="23A76EE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地  址：</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地  址：</w:t>
      </w:r>
      <w:r>
        <w:rPr>
          <w:rFonts w:hint="eastAsia" w:ascii="仿宋" w:hAnsi="仿宋" w:eastAsia="仿宋" w:cs="仿宋"/>
          <w:szCs w:val="21"/>
          <w:highlight w:val="none"/>
          <w:u w:val="single"/>
        </w:rPr>
        <w:t xml:space="preserve">       </w:t>
      </w:r>
    </w:p>
    <w:p w14:paraId="6CB746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法定代表人(签字)：</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法定代表人(签字)：</w:t>
      </w:r>
      <w:r>
        <w:rPr>
          <w:rFonts w:hint="eastAsia" w:ascii="仿宋" w:hAnsi="仿宋" w:eastAsia="仿宋" w:cs="仿宋"/>
          <w:szCs w:val="21"/>
          <w:highlight w:val="none"/>
          <w:u w:val="single"/>
        </w:rPr>
        <w:t xml:space="preserve">       </w:t>
      </w:r>
    </w:p>
    <w:p w14:paraId="119B7A4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委托代理人(签字)：</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委托代理人(签字)：</w:t>
      </w:r>
      <w:r>
        <w:rPr>
          <w:rFonts w:hint="eastAsia" w:ascii="仿宋" w:hAnsi="仿宋" w:eastAsia="仿宋" w:cs="仿宋"/>
          <w:szCs w:val="21"/>
          <w:highlight w:val="none"/>
          <w:u w:val="single"/>
        </w:rPr>
        <w:t xml:space="preserve">       </w:t>
      </w:r>
    </w:p>
    <w:p w14:paraId="4EFF273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电  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电  话：</w:t>
      </w:r>
      <w:r>
        <w:rPr>
          <w:rFonts w:hint="eastAsia" w:ascii="仿宋" w:hAnsi="仿宋" w:eastAsia="仿宋" w:cs="仿宋"/>
          <w:szCs w:val="21"/>
          <w:highlight w:val="none"/>
          <w:u w:val="single"/>
        </w:rPr>
        <w:t xml:space="preserve">     </w:t>
      </w:r>
    </w:p>
    <w:p w14:paraId="764DB6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传  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传  真：</w:t>
      </w:r>
      <w:r>
        <w:rPr>
          <w:rFonts w:hint="eastAsia" w:ascii="仿宋" w:hAnsi="仿宋" w:eastAsia="仿宋" w:cs="仿宋"/>
          <w:szCs w:val="21"/>
          <w:highlight w:val="none"/>
          <w:u w:val="single"/>
        </w:rPr>
        <w:t xml:space="preserve">     </w:t>
      </w:r>
    </w:p>
    <w:p w14:paraId="3D53EBC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开户银行：</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开户银行：</w:t>
      </w:r>
      <w:r>
        <w:rPr>
          <w:rFonts w:hint="eastAsia" w:ascii="仿宋" w:hAnsi="仿宋" w:eastAsia="仿宋" w:cs="仿宋"/>
          <w:szCs w:val="21"/>
          <w:highlight w:val="none"/>
          <w:u w:val="single"/>
        </w:rPr>
        <w:t xml:space="preserve">   </w:t>
      </w:r>
    </w:p>
    <w:p w14:paraId="602C650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账  号：</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账  号：</w:t>
      </w:r>
      <w:r>
        <w:rPr>
          <w:rFonts w:hint="eastAsia" w:ascii="仿宋" w:hAnsi="仿宋" w:eastAsia="仿宋" w:cs="仿宋"/>
          <w:szCs w:val="21"/>
          <w:highlight w:val="none"/>
          <w:u w:val="single"/>
        </w:rPr>
        <w:t xml:space="preserve">     </w:t>
      </w:r>
    </w:p>
    <w:p w14:paraId="062B875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邮政编码：</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邮政编码：</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rPr>
        <w:br w:type="page"/>
      </w:r>
      <w:r>
        <w:rPr>
          <w:rFonts w:hint="eastAsia" w:ascii="仿宋" w:hAnsi="仿宋" w:eastAsia="仿宋" w:cs="仿宋"/>
          <w:szCs w:val="21"/>
          <w:highlight w:val="none"/>
        </w:rPr>
        <w:t>附件4：</w:t>
      </w:r>
    </w:p>
    <w:p w14:paraId="6927090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承包人主要施工管理人员表</w:t>
      </w:r>
    </w:p>
    <w:tbl>
      <w:tblPr>
        <w:tblStyle w:val="7"/>
        <w:tblW w:w="509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24"/>
        <w:gridCol w:w="1231"/>
        <w:gridCol w:w="984"/>
        <w:gridCol w:w="984"/>
        <w:gridCol w:w="3690"/>
      </w:tblGrid>
      <w:tr w14:paraId="3EC47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12" w:space="0"/>
              <w:bottom w:val="double" w:color="auto" w:sz="6" w:space="0"/>
            </w:tcBorders>
            <w:vAlign w:val="center"/>
          </w:tcPr>
          <w:p w14:paraId="023DB05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名    称</w:t>
            </w:r>
          </w:p>
        </w:tc>
        <w:tc>
          <w:tcPr>
            <w:tcW w:w="723" w:type="pct"/>
            <w:tcBorders>
              <w:top w:val="single" w:color="auto" w:sz="12" w:space="0"/>
              <w:bottom w:val="double" w:color="auto" w:sz="6" w:space="0"/>
            </w:tcBorders>
            <w:vAlign w:val="center"/>
          </w:tcPr>
          <w:p w14:paraId="0AE4CD8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姓名</w:t>
            </w:r>
          </w:p>
        </w:tc>
        <w:tc>
          <w:tcPr>
            <w:tcW w:w="578" w:type="pct"/>
            <w:tcBorders>
              <w:top w:val="single" w:color="auto" w:sz="12" w:space="0"/>
              <w:bottom w:val="double" w:color="auto" w:sz="6" w:space="0"/>
            </w:tcBorders>
            <w:vAlign w:val="center"/>
          </w:tcPr>
          <w:p w14:paraId="6B15F61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职务</w:t>
            </w:r>
          </w:p>
        </w:tc>
        <w:tc>
          <w:tcPr>
            <w:tcW w:w="578" w:type="pct"/>
            <w:tcBorders>
              <w:top w:val="single" w:color="auto" w:sz="12" w:space="0"/>
              <w:bottom w:val="double" w:color="auto" w:sz="6" w:space="0"/>
            </w:tcBorders>
            <w:vAlign w:val="center"/>
          </w:tcPr>
          <w:p w14:paraId="30C2B4D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职称</w:t>
            </w:r>
          </w:p>
        </w:tc>
        <w:tc>
          <w:tcPr>
            <w:tcW w:w="2167" w:type="pct"/>
            <w:tcBorders>
              <w:top w:val="single" w:color="auto" w:sz="12" w:space="0"/>
              <w:bottom w:val="double" w:color="auto" w:sz="6" w:space="0"/>
            </w:tcBorders>
            <w:vAlign w:val="center"/>
          </w:tcPr>
          <w:p w14:paraId="7402754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主要资历、经验及承担过的项目</w:t>
            </w:r>
          </w:p>
        </w:tc>
      </w:tr>
      <w:tr w14:paraId="144D2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5000" w:type="pct"/>
            <w:gridSpan w:val="5"/>
            <w:tcBorders>
              <w:top w:val="double" w:color="auto" w:sz="6" w:space="0"/>
              <w:bottom w:val="single" w:color="auto" w:sz="6" w:space="0"/>
            </w:tcBorders>
            <w:vAlign w:val="center"/>
          </w:tcPr>
          <w:p w14:paraId="3B037C1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一、总部人员</w:t>
            </w:r>
          </w:p>
        </w:tc>
      </w:tr>
      <w:tr w14:paraId="010DC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688B371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项目主管</w:t>
            </w:r>
          </w:p>
        </w:tc>
        <w:tc>
          <w:tcPr>
            <w:tcW w:w="723" w:type="pct"/>
            <w:tcBorders>
              <w:top w:val="nil"/>
            </w:tcBorders>
            <w:vAlign w:val="center"/>
          </w:tcPr>
          <w:p w14:paraId="2B7F4B4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top w:val="nil"/>
            </w:tcBorders>
            <w:vAlign w:val="center"/>
          </w:tcPr>
          <w:p w14:paraId="224F217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top w:val="nil"/>
            </w:tcBorders>
            <w:vAlign w:val="center"/>
          </w:tcPr>
          <w:p w14:paraId="4D51531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tcBorders>
              <w:top w:val="nil"/>
            </w:tcBorders>
            <w:vAlign w:val="center"/>
          </w:tcPr>
          <w:p w14:paraId="78C96E7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2DE14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nil"/>
            </w:tcBorders>
            <w:vAlign w:val="center"/>
          </w:tcPr>
          <w:p w14:paraId="2B4FE63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vAlign w:val="center"/>
          </w:tcPr>
          <w:p w14:paraId="6B5AF90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2577B41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76C8256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5D7B48B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7E58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3A07555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其他人员</w:t>
            </w:r>
          </w:p>
        </w:tc>
        <w:tc>
          <w:tcPr>
            <w:tcW w:w="723" w:type="pct"/>
            <w:vAlign w:val="center"/>
          </w:tcPr>
          <w:p w14:paraId="02CFAE6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441C45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1400848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724F764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51A4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4BFC316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vAlign w:val="center"/>
          </w:tcPr>
          <w:p w14:paraId="4AC7F71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45369C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0CB0265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7050F8C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244E4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5000" w:type="pct"/>
            <w:gridSpan w:val="5"/>
            <w:tcBorders>
              <w:top w:val="single" w:color="auto" w:sz="6" w:space="0"/>
              <w:bottom w:val="single" w:color="auto" w:sz="6" w:space="0"/>
            </w:tcBorders>
            <w:vAlign w:val="center"/>
          </w:tcPr>
          <w:p w14:paraId="0A7323C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二、现场人员</w:t>
            </w:r>
          </w:p>
        </w:tc>
      </w:tr>
      <w:tr w14:paraId="44B75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08368CE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项目经理</w:t>
            </w:r>
          </w:p>
        </w:tc>
        <w:tc>
          <w:tcPr>
            <w:tcW w:w="723" w:type="pct"/>
            <w:vAlign w:val="center"/>
          </w:tcPr>
          <w:p w14:paraId="43E879F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6CDC73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3F0C97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50899C4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8F60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58DC5F8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项目副经理</w:t>
            </w:r>
          </w:p>
        </w:tc>
        <w:tc>
          <w:tcPr>
            <w:tcW w:w="723" w:type="pct"/>
            <w:vAlign w:val="center"/>
          </w:tcPr>
          <w:p w14:paraId="68B37C3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428EAC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30C59DB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09B28DC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410E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3341B3B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技术负责人</w:t>
            </w:r>
          </w:p>
        </w:tc>
        <w:tc>
          <w:tcPr>
            <w:tcW w:w="723" w:type="pct"/>
            <w:vAlign w:val="center"/>
          </w:tcPr>
          <w:p w14:paraId="52FFA51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75DCBA7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E68888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1AB5D81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EB1C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301CF99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造价管理</w:t>
            </w:r>
          </w:p>
        </w:tc>
        <w:tc>
          <w:tcPr>
            <w:tcW w:w="723" w:type="pct"/>
            <w:vAlign w:val="center"/>
          </w:tcPr>
          <w:p w14:paraId="758E986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16F840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26FE650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5372015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05B2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600372D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质量管理</w:t>
            </w:r>
          </w:p>
        </w:tc>
        <w:tc>
          <w:tcPr>
            <w:tcW w:w="723" w:type="pct"/>
            <w:vAlign w:val="center"/>
          </w:tcPr>
          <w:p w14:paraId="48599C7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113D14A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1E3096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691EF54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94F6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1F386C9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材料管理</w:t>
            </w:r>
          </w:p>
        </w:tc>
        <w:tc>
          <w:tcPr>
            <w:tcW w:w="723" w:type="pct"/>
            <w:vAlign w:val="center"/>
          </w:tcPr>
          <w:p w14:paraId="1360F0E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95158B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598E0C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362D11E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48532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46B958E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计划管理</w:t>
            </w:r>
          </w:p>
        </w:tc>
        <w:tc>
          <w:tcPr>
            <w:tcW w:w="723" w:type="pct"/>
            <w:vAlign w:val="center"/>
          </w:tcPr>
          <w:p w14:paraId="4A635B0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618C04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3D45565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098A22C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3B1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0494A298">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安全管理</w:t>
            </w:r>
          </w:p>
        </w:tc>
        <w:tc>
          <w:tcPr>
            <w:tcW w:w="723" w:type="pct"/>
            <w:vAlign w:val="center"/>
          </w:tcPr>
          <w:p w14:paraId="07ED42A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BFF77D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128FFB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00E7CB1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5D12F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vMerge w:val="restart"/>
            <w:tcBorders>
              <w:top w:val="single" w:color="auto" w:sz="6" w:space="0"/>
            </w:tcBorders>
            <w:vAlign w:val="center"/>
          </w:tcPr>
          <w:p w14:paraId="1591A10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r>
              <w:rPr>
                <w:rFonts w:hint="eastAsia" w:ascii="仿宋" w:hAnsi="仿宋" w:eastAsia="仿宋" w:cs="仿宋"/>
                <w:szCs w:val="21"/>
                <w:highlight w:val="none"/>
              </w:rPr>
              <w:t>其他人员</w:t>
            </w:r>
          </w:p>
        </w:tc>
        <w:tc>
          <w:tcPr>
            <w:tcW w:w="723" w:type="pct"/>
            <w:vAlign w:val="center"/>
          </w:tcPr>
          <w:p w14:paraId="6406374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4D4660D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2A8E627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4E1706C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E51D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2516FC3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tcBorders>
              <w:bottom w:val="nil"/>
            </w:tcBorders>
            <w:vAlign w:val="center"/>
          </w:tcPr>
          <w:p w14:paraId="53DF354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bottom w:val="nil"/>
            </w:tcBorders>
            <w:vAlign w:val="center"/>
          </w:tcPr>
          <w:p w14:paraId="5005C8F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bottom w:val="nil"/>
            </w:tcBorders>
            <w:vAlign w:val="center"/>
          </w:tcPr>
          <w:p w14:paraId="2B5E003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tcBorders>
              <w:bottom w:val="nil"/>
            </w:tcBorders>
            <w:vAlign w:val="center"/>
          </w:tcPr>
          <w:p w14:paraId="34F3562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68C70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2CDF3E4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vAlign w:val="center"/>
          </w:tcPr>
          <w:p w14:paraId="3BD8BB7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50B4ABE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69157A0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623F84E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3C552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6AD38DE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vAlign w:val="center"/>
          </w:tcPr>
          <w:p w14:paraId="672E2B1F">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3DFE697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77A82A2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4EFFA8E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14EDA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35F6B2A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vAlign w:val="center"/>
          </w:tcPr>
          <w:p w14:paraId="68B816B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2635E78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vAlign w:val="center"/>
          </w:tcPr>
          <w:p w14:paraId="0AC4E1A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vAlign w:val="center"/>
          </w:tcPr>
          <w:p w14:paraId="6CFA082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r w14:paraId="0C7BB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tcBorders>
              <w:bottom w:val="single" w:color="auto" w:sz="12" w:space="0"/>
            </w:tcBorders>
            <w:vAlign w:val="center"/>
          </w:tcPr>
          <w:p w14:paraId="4D4A405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723" w:type="pct"/>
            <w:tcBorders>
              <w:bottom w:val="single" w:color="auto" w:sz="12" w:space="0"/>
            </w:tcBorders>
            <w:vAlign w:val="center"/>
          </w:tcPr>
          <w:p w14:paraId="7636EED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bottom w:val="single" w:color="auto" w:sz="12" w:space="0"/>
            </w:tcBorders>
            <w:vAlign w:val="center"/>
          </w:tcPr>
          <w:p w14:paraId="7F5A9FF7">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578" w:type="pct"/>
            <w:tcBorders>
              <w:bottom w:val="single" w:color="auto" w:sz="12" w:space="0"/>
            </w:tcBorders>
            <w:vAlign w:val="center"/>
          </w:tcPr>
          <w:p w14:paraId="3845629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c>
          <w:tcPr>
            <w:tcW w:w="2167" w:type="pct"/>
            <w:tcBorders>
              <w:bottom w:val="single" w:color="auto" w:sz="12" w:space="0"/>
            </w:tcBorders>
            <w:vAlign w:val="center"/>
          </w:tcPr>
          <w:p w14:paraId="3BED61CD">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tc>
      </w:tr>
    </w:tbl>
    <w:p w14:paraId="1B59E77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302A5CF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p w14:paraId="14D3AAD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Cs w:val="21"/>
          <w:highlight w:val="none"/>
        </w:rPr>
      </w:pPr>
    </w:p>
    <w:bookmarkEnd w:id="1"/>
    <w:bookmarkEnd w:id="2"/>
    <w:p w14:paraId="2E0866CB">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0E91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20CB7">
    <w:pPr>
      <w:pStyle w:val="6"/>
      <w:rPr>
        <w:rStyle w:val="9"/>
        <w:b w:val="0"/>
        <w:b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E68EB"/>
    <w:multiLevelType w:val="singleLevel"/>
    <w:tmpl w:val="2C7E68EB"/>
    <w:lvl w:ilvl="0" w:tentative="0">
      <w:start w:val="1"/>
      <w:numFmt w:val="chineseCounting"/>
      <w:suff w:val="nothing"/>
      <w:lvlText w:val="%1、"/>
      <w:lvlJc w:val="left"/>
      <w:rPr>
        <w:rFonts w:hint="eastAsia"/>
      </w:rPr>
    </w:lvl>
  </w:abstractNum>
  <w:abstractNum w:abstractNumId="1">
    <w:nsid w:val="3589CA36"/>
    <w:multiLevelType w:val="singleLevel"/>
    <w:tmpl w:val="3589CA3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5D4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widowControl/>
      <w:tabs>
        <w:tab w:val="left" w:pos="720"/>
      </w:tabs>
      <w:jc w:val="center"/>
      <w:outlineLvl w:val="1"/>
    </w:pPr>
    <w:rPr>
      <w:rFonts w:ascii="宋体" w:hAnsi="宋体"/>
      <w:b/>
      <w:color w:val="000000"/>
      <w:kern w:val="0"/>
      <w:sz w:val="30"/>
      <w:szCs w:val="3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5">
    <w:name w:val="footer"/>
    <w:basedOn w:val="1"/>
    <w:qFormat/>
    <w:uiPriority w:val="99"/>
    <w:pPr>
      <w:tabs>
        <w:tab w:val="center" w:pos="4153"/>
        <w:tab w:val="right" w:pos="8306"/>
      </w:tabs>
      <w:snapToGrid w:val="0"/>
      <w:jc w:val="left"/>
    </w:pPr>
    <w:rPr>
      <w:rFonts w:ascii="Tahoma" w:hAnsi="Tahoma" w:eastAsia="微软雅黑" w:cs="黑体"/>
      <w:kern w:val="0"/>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ahoma" w:hAnsi="Tahoma" w:eastAsia="微软雅黑" w:cs="黑体"/>
      <w:kern w:val="0"/>
      <w:sz w:val="18"/>
      <w:szCs w:val="18"/>
    </w:rPr>
  </w:style>
  <w:style w:type="character" w:styleId="9">
    <w:name w:val="Strong"/>
    <w:qFormat/>
    <w:uiPriority w:val="0"/>
    <w:rPr>
      <w:b/>
      <w:bCs/>
    </w:rPr>
  </w:style>
  <w:style w:type="paragraph" w:styleId="10">
    <w:name w:val="List Paragraph"/>
    <w:basedOn w:val="1"/>
    <w:qFormat/>
    <w:uiPriority w:val="34"/>
    <w:pPr>
      <w:ind w:firstLine="420" w:firstLineChars="200"/>
    </w:pPr>
    <w:rPr>
      <w:rFonts w:ascii="Calibri" w:hAnsi="Calibri" w:eastAsia="宋体" w:cs="Times New Roman"/>
      <w:szCs w:val="22"/>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2026-02-06T06:12:21Z</dcterms:created>
  <dc:creator>Administrator</dc:creator>
  <cp:lastModifiedBy>Li_JF</cp:lastModifiedBy>
  <dcterms:modified xsi:type="dcterms:W3CDTF">2026-02-06T06:13:17Z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C4090BE8E3BE4DA6A7E37BC192824CC6_12</vt:lpwstr>
  </property>
</Properties>
</file>