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版本号：FHGJ-2026-011620260320001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2026年度西安市农灌区地下水监测及运行维护项目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FHGJ-2026-0116</w:t>
      </w:r>
      <w:r>
        <w:br/>
      </w:r>
      <w:r>
        <w:br/>
      </w:r>
      <w:r>
        <w:br/>
      </w:r>
    </w:p>
    <w:p>
      <w:pPr>
        <w:pStyle w:val="null3"/>
        <w:jc w:val="center"/>
        <w:outlineLvl w:val="2"/>
      </w:pPr>
      <w:r>
        <w:rPr>
          <w:rFonts w:ascii="仿宋_GB2312" w:hAnsi="仿宋_GB2312" w:cs="仿宋_GB2312" w:eastAsia="仿宋_GB2312"/>
          <w:sz w:val="28"/>
          <w:b/>
        </w:rPr>
        <w:t>西安市地下水保护监测中心</w:t>
      </w:r>
    </w:p>
    <w:p>
      <w:pPr>
        <w:pStyle w:val="null3"/>
        <w:jc w:val="center"/>
        <w:outlineLvl w:val="2"/>
      </w:pPr>
      <w:r>
        <w:rPr>
          <w:rFonts w:ascii="仿宋_GB2312" w:hAnsi="仿宋_GB2312" w:cs="仿宋_GB2312" w:eastAsia="仿宋_GB2312"/>
          <w:sz w:val="28"/>
          <w:b/>
        </w:rPr>
        <w:t>丰汇国际项目管理有限公司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丰汇国际项目管理有限公司</w:t>
      </w:r>
      <w:r>
        <w:rPr>
          <w:rFonts w:ascii="仿宋_GB2312" w:hAnsi="仿宋_GB2312" w:cs="仿宋_GB2312" w:eastAsia="仿宋_GB2312"/>
        </w:rPr>
        <w:t>（以下简称“代理机构”）受</w:t>
      </w:r>
      <w:r>
        <w:rPr>
          <w:rFonts w:ascii="仿宋_GB2312" w:hAnsi="仿宋_GB2312" w:cs="仿宋_GB2312" w:eastAsia="仿宋_GB2312"/>
        </w:rPr>
        <w:t>西安市地下水保护监测中心</w:t>
      </w:r>
      <w:r>
        <w:rPr>
          <w:rFonts w:ascii="仿宋_GB2312" w:hAnsi="仿宋_GB2312" w:cs="仿宋_GB2312" w:eastAsia="仿宋_GB2312"/>
        </w:rPr>
        <w:t>委托，拟对</w:t>
      </w:r>
      <w:r>
        <w:rPr>
          <w:rFonts w:ascii="仿宋_GB2312" w:hAnsi="仿宋_GB2312" w:cs="仿宋_GB2312" w:eastAsia="仿宋_GB2312"/>
        </w:rPr>
        <w:t>2026年度西安市农灌区地下水监测及运行维护项目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FHGJ-2026-0116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2026年度西安市农灌区地下水监测及运行维护项目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开展西安市农灌区134眼地下水监测井监测数据采集工作，其中逐日观监测井20眼，5日观监测井114眼；逐月完成西安市农灌区134眼地下水监测井巡测任务并提供巡测纪实及影像视频资料；逐月完成地下水监测数据审核、报送；按照月度、季度、年度完成监测资料整编，完成年度地下水监测数据资料年鉴整编及刊印；完成西安市农灌区134眼监测井及附属设施设备的管理维护，开展地下水保护宣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采购包1（2026年度西安市农灌区地下水监测及运行维护项目）：属于专门面向中小企业采购。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1、供应商特定资格条件：（1）法定代表人直接参加磋商的，须出具法定代表人身份证明，法定代表人授权代表参加磋商的，须出具法定代表人授权书； （2）未被“中国执行信息公开网”网站（http://zxgk.court.gov.cn/）列入失信被执行人名单，未被“信用中国”网站（www.creditchina.gov.cn）列入重大税收违法失信主体名单，未被“中国政府采购网”（www.ccgp.gov.cn）列入政府采购严重违法失信行为记录名单被财政部门禁止参加政府采购活动（处罚决定规定的时间和地域范围内）； （3）不接受联合体磋商。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西安市地下水保护监测中心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西安市经开区凤锦路58号沣惠综合服务大楼7楼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曹工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029-62645831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丰汇国际项目管理有限公司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西安市碑林区长安北路大话南门壹中心13楼1309室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15877382254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采购包1：1,760,000.00元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采购代理机构参照国家计委颁发的《招标代理服务收费管理暂行办法》（计价格[2002]1980号）和国家发展和改革委员会办公厅颁发的《关于招标代理服务收费有关问题的通知》（发改办价格[2003] 857号）的标准计取。由成交供应商在领取成交通知书前向采购代理机构一次性支付。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西安市地下水保护监测中心</w:t>
      </w:r>
      <w:r>
        <w:rPr>
          <w:rFonts w:ascii="仿宋_GB2312" w:hAnsi="仿宋_GB2312" w:cs="仿宋_GB2312" w:eastAsia="仿宋_GB2312"/>
        </w:rPr>
        <w:t>和</w:t>
      </w:r>
      <w:r>
        <w:rPr>
          <w:rFonts w:ascii="仿宋_GB2312" w:hAnsi="仿宋_GB2312" w:cs="仿宋_GB2312" w:eastAsia="仿宋_GB2312"/>
        </w:rPr>
        <w:t>丰汇国际项目管理有限公司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西安市地下水保护监测中心</w:t>
      </w:r>
      <w:r>
        <w:rPr>
          <w:rFonts w:ascii="仿宋_GB2312" w:hAnsi="仿宋_GB2312" w:cs="仿宋_GB2312" w:eastAsia="仿宋_GB2312"/>
        </w:rPr>
        <w:t>负责解释。除上述磋商文件内容，其他内容由</w:t>
      </w:r>
      <w:r>
        <w:rPr>
          <w:rFonts w:ascii="仿宋_GB2312" w:hAnsi="仿宋_GB2312" w:cs="仿宋_GB2312" w:eastAsia="仿宋_GB2312"/>
        </w:rPr>
        <w:t>丰汇国际项目管理有限公司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西安市地下水保护监测中心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丰汇国际项目管理有限公司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符合国家及行业相关验收要求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丰汇国际项目管理有限公司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丰汇国际项目管理有限公司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丰汇国际项目管理有限公司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联系人：杨工</w:t>
      </w:r>
    </w:p>
    <w:p>
      <w:pPr>
        <w:pStyle w:val="null3"/>
      </w:pPr>
      <w:r>
        <w:rPr>
          <w:rFonts w:ascii="仿宋_GB2312" w:hAnsi="仿宋_GB2312" w:cs="仿宋_GB2312" w:eastAsia="仿宋_GB2312"/>
        </w:rPr>
        <w:t>联系电话：15877382254</w:t>
      </w:r>
    </w:p>
    <w:p>
      <w:pPr>
        <w:pStyle w:val="null3"/>
      </w:pPr>
      <w:r>
        <w:rPr>
          <w:rFonts w:ascii="仿宋_GB2312" w:hAnsi="仿宋_GB2312" w:cs="仿宋_GB2312" w:eastAsia="仿宋_GB2312"/>
        </w:rPr>
        <w:t>地址：西安市碑林区长安北路大话南门壹中心13楼1309室</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开展西安市农灌区134眼地下水监测井监测数据采集工作，其中逐日观监测井20眼，5日观监测井114眼；逐月完成西安市农灌区134眼地下水监测井巡测任务并提供巡测纪实及影像视频资料；逐月完成地下水监测数据审核、报送；按照月度、季度、年度完成监测资料整编，完成年度地下水监测数据资料年鉴整编及刊印；完成西安市农灌区134眼监测井及附属设施设备的管理维护，开展地下水保护宣传。</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1,760,000.00</w:t>
      </w:r>
    </w:p>
    <w:p>
      <w:pPr>
        <w:pStyle w:val="null3"/>
      </w:pPr>
      <w:r>
        <w:rPr>
          <w:rFonts w:ascii="仿宋_GB2312" w:hAnsi="仿宋_GB2312" w:cs="仿宋_GB2312" w:eastAsia="仿宋_GB2312"/>
        </w:rPr>
        <w:t>采购包最高限价（元）: 1,760,000.00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2026年度西安市农灌区地下水监测及运行维护项目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1,760,000.00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标的名称：2026年度西安市农灌区地下水监测及运行维护项目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rPr>
              <w:t>一、项目内容：</w:t>
            </w:r>
          </w:p>
          <w:p>
            <w:pPr>
              <w:pStyle w:val="null3"/>
            </w:pPr>
            <w:r>
              <w:rPr>
                <w:rFonts w:ascii="仿宋_GB2312" w:hAnsi="仿宋_GB2312" w:cs="仿宋_GB2312" w:eastAsia="仿宋_GB2312"/>
              </w:rPr>
              <w:t>1</w:t>
            </w:r>
            <w:r>
              <w:rPr>
                <w:rFonts w:ascii="仿宋_GB2312" w:hAnsi="仿宋_GB2312" w:cs="仿宋_GB2312" w:eastAsia="仿宋_GB2312"/>
              </w:rPr>
              <w:t>、</w:t>
            </w:r>
            <w:r>
              <w:rPr>
                <w:rFonts w:ascii="仿宋_GB2312" w:hAnsi="仿宋_GB2312" w:cs="仿宋_GB2312" w:eastAsia="仿宋_GB2312"/>
              </w:rPr>
              <w:t>开展西安市农灌区</w:t>
            </w:r>
            <w:r>
              <w:rPr>
                <w:rFonts w:ascii="仿宋_GB2312" w:hAnsi="仿宋_GB2312" w:cs="仿宋_GB2312" w:eastAsia="仿宋_GB2312"/>
              </w:rPr>
              <w:t>134眼地下水监测井监测数据采集工作，其中逐日观监测井</w:t>
            </w:r>
            <w:r>
              <w:rPr>
                <w:rFonts w:ascii="仿宋_GB2312" w:hAnsi="仿宋_GB2312" w:cs="仿宋_GB2312" w:eastAsia="仿宋_GB2312"/>
              </w:rPr>
              <w:t>20</w:t>
            </w:r>
            <w:r>
              <w:rPr>
                <w:rFonts w:ascii="仿宋_GB2312" w:hAnsi="仿宋_GB2312" w:cs="仿宋_GB2312" w:eastAsia="仿宋_GB2312"/>
              </w:rPr>
              <w:t>眼，</w:t>
            </w:r>
            <w:r>
              <w:rPr>
                <w:rFonts w:ascii="仿宋_GB2312" w:hAnsi="仿宋_GB2312" w:cs="仿宋_GB2312" w:eastAsia="仿宋_GB2312"/>
              </w:rPr>
              <w:t>5日观监测井11</w:t>
            </w:r>
            <w:r>
              <w:rPr>
                <w:rFonts w:ascii="仿宋_GB2312" w:hAnsi="仿宋_GB2312" w:cs="仿宋_GB2312" w:eastAsia="仿宋_GB2312"/>
              </w:rPr>
              <w:t>4</w:t>
            </w:r>
            <w:r>
              <w:rPr>
                <w:rFonts w:ascii="仿宋_GB2312" w:hAnsi="仿宋_GB2312" w:cs="仿宋_GB2312" w:eastAsia="仿宋_GB2312"/>
              </w:rPr>
              <w:t>眼；</w:t>
            </w:r>
          </w:p>
          <w:p>
            <w:pPr>
              <w:pStyle w:val="null3"/>
            </w:pPr>
            <w:r>
              <w:rPr>
                <w:rFonts w:ascii="仿宋_GB2312" w:hAnsi="仿宋_GB2312" w:cs="仿宋_GB2312" w:eastAsia="仿宋_GB2312"/>
              </w:rPr>
              <w:t>2</w:t>
            </w:r>
            <w:r>
              <w:rPr>
                <w:rFonts w:ascii="仿宋_GB2312" w:hAnsi="仿宋_GB2312" w:cs="仿宋_GB2312" w:eastAsia="仿宋_GB2312"/>
              </w:rPr>
              <w:t>、</w:t>
            </w:r>
            <w:r>
              <w:rPr>
                <w:rFonts w:ascii="仿宋_GB2312" w:hAnsi="仿宋_GB2312" w:cs="仿宋_GB2312" w:eastAsia="仿宋_GB2312"/>
              </w:rPr>
              <w:t>逐月完成西安市农灌区</w:t>
            </w:r>
            <w:r>
              <w:rPr>
                <w:rFonts w:ascii="仿宋_GB2312" w:hAnsi="仿宋_GB2312" w:cs="仿宋_GB2312" w:eastAsia="仿宋_GB2312"/>
              </w:rPr>
              <w:t>134眼地下水监测井巡测任务并提供巡测纪实及影像视频资料；</w:t>
            </w:r>
          </w:p>
          <w:p>
            <w:pPr>
              <w:pStyle w:val="null3"/>
            </w:pPr>
            <w:r>
              <w:rPr>
                <w:rFonts w:ascii="仿宋_GB2312" w:hAnsi="仿宋_GB2312" w:cs="仿宋_GB2312" w:eastAsia="仿宋_GB2312"/>
              </w:rPr>
              <w:t>3</w:t>
            </w:r>
            <w:r>
              <w:rPr>
                <w:rFonts w:ascii="仿宋_GB2312" w:hAnsi="仿宋_GB2312" w:cs="仿宋_GB2312" w:eastAsia="仿宋_GB2312"/>
              </w:rPr>
              <w:t>、</w:t>
            </w:r>
            <w:r>
              <w:rPr>
                <w:rFonts w:ascii="仿宋_GB2312" w:hAnsi="仿宋_GB2312" w:cs="仿宋_GB2312" w:eastAsia="仿宋_GB2312"/>
              </w:rPr>
              <w:t>逐月完成地下水监测数据审核、报送；</w:t>
            </w:r>
          </w:p>
          <w:p>
            <w:pPr>
              <w:pStyle w:val="null3"/>
            </w:pPr>
            <w:r>
              <w:rPr>
                <w:rFonts w:ascii="仿宋_GB2312" w:hAnsi="仿宋_GB2312" w:cs="仿宋_GB2312" w:eastAsia="仿宋_GB2312"/>
              </w:rPr>
              <w:t>4</w:t>
            </w:r>
            <w:r>
              <w:rPr>
                <w:rFonts w:ascii="仿宋_GB2312" w:hAnsi="仿宋_GB2312" w:cs="仿宋_GB2312" w:eastAsia="仿宋_GB2312"/>
              </w:rPr>
              <w:t>、</w:t>
            </w:r>
            <w:r>
              <w:rPr>
                <w:rFonts w:ascii="仿宋_GB2312" w:hAnsi="仿宋_GB2312" w:cs="仿宋_GB2312" w:eastAsia="仿宋_GB2312"/>
              </w:rPr>
              <w:t>按照月度、季度、年度完成监测资料整编，完成年度地下水监测数据资料年鉴整编及刊印；</w:t>
            </w:r>
          </w:p>
          <w:p>
            <w:pPr>
              <w:pStyle w:val="null3"/>
            </w:pPr>
            <w:r>
              <w:rPr>
                <w:rFonts w:ascii="仿宋_GB2312" w:hAnsi="仿宋_GB2312" w:cs="仿宋_GB2312" w:eastAsia="仿宋_GB2312"/>
              </w:rPr>
              <w:t>5</w:t>
            </w:r>
            <w:r>
              <w:rPr>
                <w:rFonts w:ascii="仿宋_GB2312" w:hAnsi="仿宋_GB2312" w:cs="仿宋_GB2312" w:eastAsia="仿宋_GB2312"/>
              </w:rPr>
              <w:t>、</w:t>
            </w:r>
            <w:r>
              <w:rPr>
                <w:rFonts w:ascii="仿宋_GB2312" w:hAnsi="仿宋_GB2312" w:cs="仿宋_GB2312" w:eastAsia="仿宋_GB2312"/>
              </w:rPr>
              <w:t>完成西安市农灌区</w:t>
            </w:r>
            <w:r>
              <w:rPr>
                <w:rFonts w:ascii="仿宋_GB2312" w:hAnsi="仿宋_GB2312" w:cs="仿宋_GB2312" w:eastAsia="仿宋_GB2312"/>
              </w:rPr>
              <w:t>134眼监测井及附属设施设备的管理维护，开展地下水保护宣传。</w:t>
            </w:r>
          </w:p>
          <w:p>
            <w:pPr>
              <w:pStyle w:val="null3"/>
            </w:pPr>
            <w:r>
              <w:rPr>
                <w:rFonts w:ascii="仿宋_GB2312" w:hAnsi="仿宋_GB2312" w:cs="仿宋_GB2312" w:eastAsia="仿宋_GB2312"/>
                <w:b/>
              </w:rPr>
              <w:t>二、服务期限：</w:t>
            </w:r>
            <w:r>
              <w:rPr>
                <w:rFonts w:ascii="仿宋_GB2312" w:hAnsi="仿宋_GB2312" w:cs="仿宋_GB2312" w:eastAsia="仿宋_GB2312"/>
                <w:b/>
              </w:rPr>
              <w:t>2026年全年</w:t>
            </w:r>
          </w:p>
          <w:p>
            <w:pPr>
              <w:pStyle w:val="null3"/>
            </w:pPr>
            <w:r>
              <w:rPr>
                <w:rFonts w:ascii="仿宋_GB2312" w:hAnsi="仿宋_GB2312" w:cs="仿宋_GB2312" w:eastAsia="仿宋_GB2312"/>
              </w:rPr>
              <w:t>在采购人确定下一监测年度服务承担单位并签署合同前，成交供应商承诺并保证继续按质、按量提供监测服务并完成相应工作，确保监测工作不中断。</w:t>
            </w:r>
          </w:p>
          <w:p>
            <w:pPr>
              <w:pStyle w:val="null3"/>
            </w:pPr>
            <w:r>
              <w:rPr>
                <w:rFonts w:ascii="仿宋_GB2312" w:hAnsi="仿宋_GB2312" w:cs="仿宋_GB2312" w:eastAsia="仿宋_GB2312"/>
                <w:b/>
              </w:rPr>
              <w:t>三、技术要求</w:t>
            </w:r>
          </w:p>
          <w:p>
            <w:pPr>
              <w:pStyle w:val="null3"/>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监测数据采集及巡测。供应商负责开展</w:t>
            </w:r>
            <w:r>
              <w:rPr>
                <w:rFonts w:ascii="仿宋_GB2312" w:hAnsi="仿宋_GB2312" w:cs="仿宋_GB2312" w:eastAsia="仿宋_GB2312"/>
                <w:sz w:val="21"/>
              </w:rPr>
              <w:t>134眼监测井的数据采集。数据采集、整编及设施维护执行《地下水监测工程技术标准》（GB/T 51040-2023）和《陕西省地下水监测工作规则》等相关技术规范要求。</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具有履行合同所必需的专业技术能力人员，满足磋商文件要求，满足项目需求。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具有履行合同所必需的设施设备，满足项目需求。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为顺利推进政府采购电子化交易平台试点应用工作，供应商需要在线提交所有通过电子化交易平台实施的政府采购项目的响应文件，发布成交结果公告后，成交供应商应根据采购人要求的时间及时向采购人提交一正二副，书籍(胶装)方式装订的盖章的纸质文件，若正本和副本不一致的，以正本为准。2、供应商务必在开标截止时间30分钟前，通过项目电子化交易系统进行签到，如未进行签到，产生的一切后果由供应商自行承担。3、签名是指手写签名或者加盖名章，盖章是指加盖单位印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2026年全年，在采购人确定下一监测年度服务承担单位并签署合同前，成交供应商承诺并保证继续按质、按量提供监测服务并完成相应工作，确保监测工作不中断。</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（1）验收要求：在本项目数据采集任务完成后，经自检合格后，成交供应商向采购人提交项目成果及巡测影像在内的有关材料，经采购人确认材料齐全、符合相关要求由采购人组织验收。 （2）验收方法：成交供应商提交相关资料、提出验收申请，经采购人初步审核且达到验收条件，由采购人组织、聘请专家进行项目验收。（3）如通过验收，成交供应商应自通过之日起20日内向采购人提交项目全部成果及相关材料。（4）如未通过验收，由此给采购人带来的损失由成交供应商承担。</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甲乙双方合同签订后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第二次2026年8月底</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项目完成并通过验收后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成交供应商提交的成果必须符合本合同的相关规定，未达到要求的，应按合同标的总金额百分之十向采购人支付违约金，经采购人要求整改后的30日内或采购人确定的其他期限内仍未达到要求，进而导致无法通过项目验收的，采购人有权解除合同，成交供应商还应同时返还采购人已支付的款项。2.成交供应商如未能按期提交项目成果，每延迟一日应按合同标的总金额千分之一向采购人支付迟延违约金。违约金首先从采购人未支付的项目款项中扣除。成交供应商逾期超过30日的，采购人有权要求解除合同，并有权要求成交供应商支付本合同总金额的20%违约金和承担采购人因此遭受的其他直接损失。3.成交供应商未按合同要求履行义务，且经采购人要求仍拒不改正的，应按合同标的总金额百分之十向采购人支付违约金。如拒不改正的部分或程度等导致本合同目的无法实现的，采购人有权解除合同，成交供应商还应同时返还采购人已支付的款项。4.争议解决和补充协议 因本合同产生或与本合同有关的任何争议，甲乙双方应协商解决，协商不成的依法向采购人所在地人民法院起诉。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落实政府采购政策需满足的资格要求：依据《中华人民共和国政府采购法》和《中华人民共和国政府采购法实施条例》的有关规定，落实政府采购“优先购买节能环保产品、扶持小微企业、监狱企业、福利企业”等相关政策。 1、《关于进一步加大政府采购支持中小企业力度的通知》（财库〔2022〕19号）、《政府采购促进中小企业发展管理办法》（财库〔2020〕46号）、《财政部 司法部关于政府采购支持监狱企业发展有关问题的通知》（财库〔2014〕68号）、《关于促进残疾人就业政府采购政策的通知》（财库〔2017〕141号）。 2、《国务院办公厅关于建立政府强制采购节能产品制度的通知》（国办发〔2007〕51号）、《财政部 发展改革委 生态环境部 市场监管总局关于调整优化节能产品、环境标志产品政府采购执行机制的通知》（财库〔2019〕9号）、《关于印发环境标志产品政府采购品目清单的通知》（财库〔2019〕18号）、《关于印发节能产品政府采购品目清单的通知》（财库〔2019〕19号）。 3、《关于运用政府采购政策支持乡村产业振兴的通知》（财库〔2021〕19 号）、《关于印发&lt;关于深入开展政府采购脱贫地区农副产品工作推进乡村产业振兴的实施意见&gt;的通知》（财库〔2021〕20 号）。 4、《国家互联网信息办公室 工业和信息化部 公安部 财政部 国家认证认可监督管理委员会关于调整网络安全专用产品安全管理有关事项的公告》（2023年第1号）。 5、《陕西省财政厅关于加快推进我省中小企业政府采购信用融资工作的通知》（陕财办采〔2020〕15 号）、《陕西省财政厅关于印发&lt;陕西省中小企业政府采购信用融资办法&gt;的通知》（陕财办采〔2018〕23 号）。 6、《关于扩大政府采购支持绿色建材促进建筑品质提升政策实施范围的通知》（财库〔2022〕35号）、《财政部办公厅 住房城乡建设部办公厅 工业和信息化部办公厅关于印发&lt;政府采购支持绿色建材促进建筑品质提升政策项目实施指南&gt;的通知》（财办库〔2023〕52号）。 7、《国务院办公厅关于在政府采购中实施本国产品标准及相关政策的通知》（国办发〔2025〕34号）。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磋商声明书.docx 商务条款响应偏离表.docx 其他材料.docx 响应函 资格证明文件.docx 业绩证明文件.docx 服务方案.docx 磋商报价一览表.docx 磋商函.docx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审计事务所出具的2024年度或2025年度的财务报告（至少包括审计报告、资产负债表、利润表、现金流量表、所有者权益变动表及其附注，成立时间至提交响应文件截止时间不足一年的可提供成立后任意时段的资产负债表）或在开标日期前六个月内其基本开户银行出具的资信证明，或信用担保机构出具的投标担保函，以上三种形式的资料提供任何一种即可（分支机构如无法提供财务审计报告，须出具包含分支机构的财务数据的总公司财务审计报告）</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供应商特定资格条件</w:t>
            </w:r>
          </w:p>
        </w:tc>
        <w:tc>
          <w:tcPr>
            <w:tcW w:type="dxa" w:w="3322"/>
          </w:tcPr>
          <w:p>
            <w:pPr>
              <w:pStyle w:val="null3"/>
            </w:pPr>
            <w:r>
              <w:rPr>
                <w:rFonts w:ascii="仿宋_GB2312" w:hAnsi="仿宋_GB2312" w:cs="仿宋_GB2312" w:eastAsia="仿宋_GB2312"/>
              </w:rPr>
              <w:t>（1）法定代表人直接参加磋商的，须出具法定代表人身份证明，法定代表人授权代表参加磋商的，须出具法定代表人授权书； （2）未被“中国执行信息公开网”网站（http://zxgk.court.gov.cn/）列入失信被执行人名单，未被“信用中国”网站（www.creditchina.gov.cn）列入重大税收违法失信主体名单，未被“中国政府采购网”（www.ccgp.gov.cn）列入政府采购严重违法失信行为记录名单被财政部门禁止参加政府采购活动（处罚决定规定的时间和地域范围内）； （3）不接受联合体磋商。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中小企业声明函 报价表 商务条款响应偏离表.docx 资格证明文件.docx 业绩证明文件.docx 响应文件封面 磋商声明书.docx 残疾人福利性单位声明函 标的清单 其他材料.docx 响应函 磋商报价一览表.docx 服务方案.docx 监狱企业的证明文件 磋商函.docx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竞争性磋商响应文件的签署、加盖印章是否合格、有效</w:t>
            </w:r>
          </w:p>
        </w:tc>
        <w:tc>
          <w:tcPr>
            <w:tcW w:type="dxa" w:w="3322"/>
          </w:tcPr>
          <w:p>
            <w:pPr>
              <w:pStyle w:val="null3"/>
            </w:pPr>
            <w:r>
              <w:rPr>
                <w:rFonts w:ascii="仿宋_GB2312" w:hAnsi="仿宋_GB2312" w:cs="仿宋_GB2312" w:eastAsia="仿宋_GB2312"/>
              </w:rPr>
              <w:t>竞争性磋商响应文件的签署、加盖印章是否合格、有效</w:t>
            </w:r>
          </w:p>
        </w:tc>
        <w:tc>
          <w:tcPr>
            <w:tcW w:type="dxa" w:w="1661"/>
          </w:tcPr>
          <w:p>
            <w:pPr>
              <w:pStyle w:val="null3"/>
            </w:pPr>
            <w:r>
              <w:rPr>
                <w:rFonts w:ascii="仿宋_GB2312" w:hAnsi="仿宋_GB2312" w:cs="仿宋_GB2312" w:eastAsia="仿宋_GB2312"/>
              </w:rPr>
              <w:t>中小企业声明函 报价表 商务条款响应偏离表.docx 资格证明文件.docx 业绩证明文件.docx 响应文件封面 磋商声明书.docx 残疾人福利性单位声明函 标的清单 其他材料.docx 响应函 服务方案.docx 磋商报价一览表.docx 监狱企业的证明文件 磋商函.docx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磋商报价是否未超过采购预算</w:t>
            </w:r>
          </w:p>
        </w:tc>
        <w:tc>
          <w:tcPr>
            <w:tcW w:type="dxa" w:w="3322"/>
          </w:tcPr>
          <w:p>
            <w:pPr>
              <w:pStyle w:val="null3"/>
            </w:pPr>
            <w:r>
              <w:rPr>
                <w:rFonts w:ascii="仿宋_GB2312" w:hAnsi="仿宋_GB2312" w:cs="仿宋_GB2312" w:eastAsia="仿宋_GB2312"/>
              </w:rPr>
              <w:t>磋商报价是否未超过采购预算</w:t>
            </w:r>
          </w:p>
        </w:tc>
        <w:tc>
          <w:tcPr>
            <w:tcW w:type="dxa" w:w="1661"/>
          </w:tcPr>
          <w:p>
            <w:pPr>
              <w:pStyle w:val="null3"/>
            </w:pPr>
            <w:r>
              <w:rPr>
                <w:rFonts w:ascii="仿宋_GB2312" w:hAnsi="仿宋_GB2312" w:cs="仿宋_GB2312" w:eastAsia="仿宋_GB2312"/>
              </w:rPr>
              <w:t>标的清单 报价表 响应函 磋商报价一览表.docx 磋商函.docx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磋商有效期是否符合竞争性磋商文件的要求</w:t>
            </w:r>
          </w:p>
        </w:tc>
        <w:tc>
          <w:tcPr>
            <w:tcW w:type="dxa" w:w="3322"/>
          </w:tcPr>
          <w:p>
            <w:pPr>
              <w:pStyle w:val="null3"/>
            </w:pPr>
            <w:r>
              <w:rPr>
                <w:rFonts w:ascii="仿宋_GB2312" w:hAnsi="仿宋_GB2312" w:cs="仿宋_GB2312" w:eastAsia="仿宋_GB2312"/>
              </w:rPr>
              <w:t>磋商有效期是否符合竞争性磋商文件的要求</w:t>
            </w:r>
          </w:p>
        </w:tc>
        <w:tc>
          <w:tcPr>
            <w:tcW w:type="dxa" w:w="1661"/>
          </w:tcPr>
          <w:p>
            <w:pPr>
              <w:pStyle w:val="null3"/>
            </w:pPr>
            <w:r>
              <w:rPr>
                <w:rFonts w:ascii="仿宋_GB2312" w:hAnsi="仿宋_GB2312" w:cs="仿宋_GB2312" w:eastAsia="仿宋_GB2312"/>
              </w:rPr>
              <w:t>磋商声明书.docx 标的清单 报价表 响应函 磋商报价一览表.docx 磋商函.docx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服务期是否符合采购文件要求</w:t>
            </w:r>
          </w:p>
        </w:tc>
        <w:tc>
          <w:tcPr>
            <w:tcW w:type="dxa" w:w="1661"/>
          </w:tcPr>
          <w:p>
            <w:pPr>
              <w:pStyle w:val="null3"/>
            </w:pPr>
            <w:r>
              <w:rPr>
                <w:rFonts w:ascii="仿宋_GB2312" w:hAnsi="仿宋_GB2312" w:cs="仿宋_GB2312" w:eastAsia="仿宋_GB2312"/>
              </w:rPr>
              <w:t>磋商声明书.docx 标的清单 报价表 响应函 磋商报价一览表.docx 磋商函.docx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监测方案</w:t>
            </w:r>
          </w:p>
        </w:tc>
        <w:tc>
          <w:tcPr>
            <w:tcW w:type="dxa" w:w="2492"/>
          </w:tcPr>
          <w:p>
            <w:pPr>
              <w:pStyle w:val="null3"/>
            </w:pPr>
            <w:r>
              <w:rPr>
                <w:rFonts w:ascii="仿宋_GB2312" w:hAnsi="仿宋_GB2312" w:cs="仿宋_GB2312" w:eastAsia="仿宋_GB2312"/>
              </w:rPr>
              <w:t>内容至少包括：①项目背景了解；②监测服务内容及目标；③监测数据采集和监测数据资料审核、报送及存档的具体服务措施；④监测井及附属设施设备维护和地下水保护宣传具体服务措施等。 注：评审内容任意一项缺项扣3分，扣完为止；评审内容任意一项有缺陷扣1.5分，扣完为止。“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监测方法及其依据的标准</w:t>
            </w:r>
          </w:p>
        </w:tc>
        <w:tc>
          <w:tcPr>
            <w:tcW w:type="dxa" w:w="2492"/>
          </w:tcPr>
          <w:p>
            <w:pPr>
              <w:pStyle w:val="null3"/>
            </w:pPr>
            <w:r>
              <w:rPr>
                <w:rFonts w:ascii="仿宋_GB2312" w:hAnsi="仿宋_GB2312" w:cs="仿宋_GB2312" w:eastAsia="仿宋_GB2312"/>
              </w:rPr>
              <w:t>监测方法及标准内容至少包括：①地下水监测方法及要求；②地下水资料整编流程及依据标准；③地下水监测技术规范梳理；④监测操作要求详细论述等。 注：评审内容任意一项缺项扣3分，扣完为止；评审内容任意一项有缺陷扣1.5分，扣完为止。“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监测设备和材料投入</w:t>
            </w:r>
          </w:p>
        </w:tc>
        <w:tc>
          <w:tcPr>
            <w:tcW w:type="dxa" w:w="2492"/>
          </w:tcPr>
          <w:p>
            <w:pPr>
              <w:pStyle w:val="null3"/>
            </w:pPr>
            <w:r>
              <w:rPr>
                <w:rFonts w:ascii="仿宋_GB2312" w:hAnsi="仿宋_GB2312" w:cs="仿宋_GB2312" w:eastAsia="仿宋_GB2312"/>
              </w:rPr>
              <w:t>监测设备和材料投入内容至少包括：①监测设备具体型号、精度、数量配置；②项目所需材料品类、数量投入规划等。 注：评审内容任意一项缺项扣4.5分，扣完为止；评审内容任意一项有缺陷扣2分，扣完为止。“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质量管理与各项保证措施</w:t>
            </w:r>
          </w:p>
        </w:tc>
        <w:tc>
          <w:tcPr>
            <w:tcW w:type="dxa" w:w="2492"/>
          </w:tcPr>
          <w:p>
            <w:pPr>
              <w:pStyle w:val="null3"/>
            </w:pPr>
            <w:r>
              <w:rPr>
                <w:rFonts w:ascii="仿宋_GB2312" w:hAnsi="仿宋_GB2312" w:cs="仿宋_GB2312" w:eastAsia="仿宋_GB2312"/>
              </w:rPr>
              <w:t>质量管理及保证措施内容至少包括：①项目全流程质量管理体系搭建；②监测数据质量把控措施；③服务过程质量监督细则；④质量问题整改及保障机制等。 注：评审内容任意一项缺项扣3分，扣完为止；评审内容任意一项有缺陷扣1.5分，扣完为止。“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进度控制的方法和措施</w:t>
            </w:r>
          </w:p>
        </w:tc>
        <w:tc>
          <w:tcPr>
            <w:tcW w:type="dxa" w:w="2492"/>
          </w:tcPr>
          <w:p>
            <w:pPr>
              <w:pStyle w:val="null3"/>
            </w:pPr>
            <w:r>
              <w:rPr>
                <w:rFonts w:ascii="仿宋_GB2312" w:hAnsi="仿宋_GB2312" w:cs="仿宋_GB2312" w:eastAsia="仿宋_GB2312"/>
              </w:rPr>
              <w:t>进度控制方法及措施内容至少包括：①项目各阶段进度节点规划；②进度控制具体方法及实施措施；③项目工作流程设计；④进度滞后的应对及调整方案等。 注：评审内容任意一项缺项扣2分，扣完为止；评审内容任意一项有缺陷扣1分，扣完为止。“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对本项目的合理化建议</w:t>
            </w:r>
          </w:p>
        </w:tc>
        <w:tc>
          <w:tcPr>
            <w:tcW w:type="dxa" w:w="2492"/>
          </w:tcPr>
          <w:p>
            <w:pPr>
              <w:pStyle w:val="null3"/>
            </w:pPr>
            <w:r>
              <w:rPr>
                <w:rFonts w:ascii="仿宋_GB2312" w:hAnsi="仿宋_GB2312" w:cs="仿宋_GB2312" w:eastAsia="仿宋_GB2312"/>
              </w:rPr>
              <w:t>本项目合理化建议内容至少包括：①贴合项目实际的优化建议；②建议的可行性分析。 注：评审内容任意一项缺项扣2分，扣完为止；评审内容任意一项有缺陷扣1分，扣完为止。“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应急预案内容至少包括：①具体应急处置流程及方法；②应急资源配置及保障措施等。 注：评审内容任意一项缺项扣4分，扣完为止；评审内容任意一项有缺陷扣2分，扣完为止。“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1、拟投入本项目人员须为投标单位在职人员，提供证明材料，否则不计分。 ①拟投入本项目人员在10人 ( 含）及以上的计10分； ②5人（含 ) 以上-10人以下计6分； ③1人（含 ) 以上-5人以下计2分，未提供的不计分。 2、项目组成员每配备1名水利、水文专业高级职称或水环境监测高级工证书的计1分，最多计3分，每配备1名水利、水文专业中级职称或水环境监测中级工证书的计0.5分，最多计2分，此项最多计5分。（以上人员提供职称证书复印件加盖公章）； 注：以响应文件中提供的证明材料为准，复印件须清晰可辨，复印件模糊无法辨认的不予赋分。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供应商具有2023年1月1日（以合同签订时间为准）同类项目业绩，响应文件中提供合同复印件加盖公章，每提供一个得2分，最高得10分。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满足磋商文件要求且最后报价最低的供应商的价格为评标基准价，其价格分为满分。其他供应商的价格分统一按照下列公式计算： 投标报价得分=（评标基准价/最后报价）×价格权值×100 注：投标人的报价明显低于其他投标报价，评标委员会应当要求该投标人作出书面说明并提供相关证明材料。投标人不能合理说明或者不能提供相关证明材料的，由评标委员会认定该投标人以低于成本报价竞标，其投标应作无效投标处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磋商函.docx</w:t>
            </w:r>
          </w:p>
          <w:p>
            <w:pPr>
              <w:pStyle w:val="null3"/>
            </w:pPr>
            <w:r>
              <w:rPr>
                <w:rFonts w:ascii="仿宋_GB2312" w:hAnsi="仿宋_GB2312" w:cs="仿宋_GB2312" w:eastAsia="仿宋_GB2312"/>
              </w:rPr>
              <w:t>磋商报价一览表.docx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详见附件：磋商函.docx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详见附件：磋商声明书.docx</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详见附件：磋商报价一览表.docx</w:t>
      </w:r>
    </w:p>
    <w:p>
      <w:pPr>
        <w:pStyle w:val="null3"/>
        <w:ind w:firstLine="960"/>
      </w:pPr>
      <w:r>
        <w:rPr>
          <w:rFonts w:ascii="仿宋_GB2312" w:hAnsi="仿宋_GB2312" w:cs="仿宋_GB2312" w:eastAsia="仿宋_GB2312"/>
        </w:rPr>
        <w:t>详见附件：商务条款响应偏离表.docx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详见附件：业绩证明文件.docx</w:t>
      </w:r>
    </w:p>
    <w:p>
      <w:pPr>
        <w:pStyle w:val="null3"/>
        <w:ind w:firstLine="960"/>
      </w:pPr>
      <w:r>
        <w:rPr>
          <w:rFonts w:ascii="仿宋_GB2312" w:hAnsi="仿宋_GB2312" w:cs="仿宋_GB2312" w:eastAsia="仿宋_GB2312"/>
        </w:rPr>
        <w:t>详见附件：其他材料.docx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