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6D4AA">
      <w:pPr>
        <w:pageBreakBefore w:val="0"/>
        <w:kinsoku/>
        <w:overflowPunct/>
        <w:topLinePunct w:val="0"/>
        <w:bidi w:val="0"/>
        <w:spacing w:line="440" w:lineRule="atLeast"/>
        <w:jc w:val="center"/>
        <w:outlineLvl w:val="0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kern w:val="0"/>
          <w:sz w:val="32"/>
          <w:szCs w:val="20"/>
          <w:highlight w:val="none"/>
          <w:lang w:val="en-US" w:eastAsia="zh-CN" w:bidi="ar-SA"/>
        </w:rPr>
        <w:t>政府采购合同</w:t>
      </w:r>
    </w:p>
    <w:p w14:paraId="11C109C8">
      <w:pPr>
        <w:pStyle w:val="3"/>
        <w:jc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（注：本合同为示范文本，最终以甲乙双方签订的合同为准）</w:t>
      </w:r>
    </w:p>
    <w:p w14:paraId="582E76EE">
      <w:pPr>
        <w:pageBreakBefore w:val="0"/>
        <w:kinsoku/>
        <w:overflowPunct/>
        <w:topLinePunct w:val="0"/>
        <w:bidi w:val="0"/>
        <w:spacing w:line="440" w:lineRule="atLeast"/>
        <w:jc w:val="center"/>
        <w:outlineLvl w:val="0"/>
        <w:rPr>
          <w:rStyle w:val="11"/>
          <w:rFonts w:hint="eastAsia" w:ascii="宋体" w:hAnsi="宋体" w:eastAsia="宋体" w:cs="宋体"/>
          <w:color w:val="auto"/>
          <w:kern w:val="2"/>
          <w:szCs w:val="24"/>
          <w:highlight w:val="none"/>
          <w:lang w:val="en-US" w:eastAsia="zh-CN"/>
        </w:rPr>
      </w:pPr>
    </w:p>
    <w:p w14:paraId="269BF51A">
      <w:pPr>
        <w:pStyle w:val="6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181C6A70">
      <w:pPr>
        <w:pageBreakBefore w:val="0"/>
        <w:kinsoku/>
        <w:overflowPunct/>
        <w:topLinePunct w:val="0"/>
        <w:bidi w:val="0"/>
        <w:spacing w:line="440" w:lineRule="atLeast"/>
        <w:jc w:val="center"/>
        <w:outlineLvl w:val="0"/>
        <w:rPr>
          <w:rStyle w:val="11"/>
          <w:rFonts w:hint="eastAsia" w:ascii="宋体" w:hAnsi="宋体" w:eastAsia="宋体" w:cs="宋体"/>
          <w:color w:val="auto"/>
          <w:kern w:val="2"/>
          <w:sz w:val="40"/>
          <w:szCs w:val="32"/>
          <w:highlight w:val="none"/>
          <w:lang w:val="en-US" w:eastAsia="zh-CN"/>
        </w:rPr>
      </w:pPr>
      <w:r>
        <w:rPr>
          <w:rStyle w:val="11"/>
          <w:rFonts w:hint="eastAsia" w:ascii="宋体" w:hAnsi="宋体" w:eastAsia="宋体" w:cs="宋体"/>
          <w:color w:val="auto"/>
          <w:kern w:val="2"/>
          <w:sz w:val="40"/>
          <w:szCs w:val="32"/>
          <w:highlight w:val="none"/>
          <w:lang w:val="en-US" w:eastAsia="zh-CN"/>
        </w:rPr>
        <w:t>2026年度西安市农灌区地下水监测</w:t>
      </w:r>
    </w:p>
    <w:p w14:paraId="697C1446">
      <w:pPr>
        <w:pageBreakBefore w:val="0"/>
        <w:kinsoku/>
        <w:overflowPunct/>
        <w:topLinePunct w:val="0"/>
        <w:bidi w:val="0"/>
        <w:spacing w:line="440" w:lineRule="atLeast"/>
        <w:jc w:val="center"/>
        <w:outlineLvl w:val="0"/>
        <w:rPr>
          <w:rStyle w:val="11"/>
          <w:rFonts w:hint="eastAsia" w:ascii="宋体" w:hAnsi="宋体" w:eastAsia="宋体" w:cs="宋体"/>
          <w:color w:val="auto"/>
          <w:kern w:val="2"/>
          <w:sz w:val="40"/>
          <w:szCs w:val="32"/>
          <w:highlight w:val="none"/>
          <w:lang w:val="en-US" w:eastAsia="zh-CN"/>
        </w:rPr>
      </w:pPr>
      <w:r>
        <w:rPr>
          <w:rStyle w:val="11"/>
          <w:rFonts w:hint="eastAsia" w:ascii="宋体" w:hAnsi="宋体" w:eastAsia="宋体" w:cs="宋体"/>
          <w:color w:val="auto"/>
          <w:kern w:val="2"/>
          <w:sz w:val="40"/>
          <w:szCs w:val="32"/>
          <w:highlight w:val="none"/>
          <w:lang w:val="en-US" w:eastAsia="zh-CN"/>
        </w:rPr>
        <w:t>及运行维护项目</w:t>
      </w:r>
    </w:p>
    <w:p w14:paraId="30CFDE13">
      <w:pPr>
        <w:pageBreakBefore w:val="0"/>
        <w:kinsoku/>
        <w:overflowPunct/>
        <w:topLinePunct w:val="0"/>
        <w:bidi w:val="0"/>
        <w:spacing w:line="440" w:lineRule="atLeast"/>
        <w:jc w:val="center"/>
        <w:outlineLvl w:val="0"/>
        <w:rPr>
          <w:rStyle w:val="11"/>
          <w:rFonts w:hint="eastAsia" w:ascii="宋体" w:hAnsi="宋体" w:eastAsia="宋体" w:cs="宋体"/>
          <w:color w:val="auto"/>
          <w:kern w:val="2"/>
          <w:sz w:val="40"/>
          <w:szCs w:val="32"/>
          <w:highlight w:val="none"/>
          <w:lang w:val="en-US" w:eastAsia="zh-CN"/>
        </w:rPr>
      </w:pPr>
    </w:p>
    <w:p w14:paraId="37441A28">
      <w:pPr>
        <w:pageBreakBefore w:val="0"/>
        <w:kinsoku/>
        <w:overflowPunct/>
        <w:topLinePunct w:val="0"/>
        <w:bidi w:val="0"/>
        <w:spacing w:line="440" w:lineRule="atLeast"/>
        <w:jc w:val="center"/>
        <w:outlineLvl w:val="0"/>
        <w:rPr>
          <w:rStyle w:val="11"/>
          <w:rFonts w:hint="eastAsia" w:ascii="宋体" w:hAnsi="宋体" w:eastAsia="宋体" w:cs="宋体"/>
          <w:color w:val="auto"/>
          <w:kern w:val="2"/>
          <w:sz w:val="40"/>
          <w:szCs w:val="32"/>
          <w:highlight w:val="none"/>
          <w:lang w:val="en-US" w:eastAsia="zh-CN"/>
        </w:rPr>
      </w:pPr>
    </w:p>
    <w:p w14:paraId="036CD41F">
      <w:pPr>
        <w:pageBreakBefore w:val="0"/>
        <w:kinsoku/>
        <w:overflowPunct/>
        <w:topLinePunct w:val="0"/>
        <w:bidi w:val="0"/>
        <w:spacing w:line="440" w:lineRule="atLeast"/>
        <w:jc w:val="center"/>
        <w:outlineLvl w:val="0"/>
        <w:rPr>
          <w:rStyle w:val="11"/>
          <w:rFonts w:hint="eastAsia" w:ascii="宋体" w:hAnsi="宋体" w:eastAsia="宋体" w:cs="宋体"/>
          <w:color w:val="auto"/>
          <w:kern w:val="2"/>
          <w:sz w:val="40"/>
          <w:szCs w:val="32"/>
          <w:highlight w:val="none"/>
        </w:rPr>
      </w:pPr>
      <w:r>
        <w:rPr>
          <w:rStyle w:val="11"/>
          <w:rFonts w:hint="eastAsia" w:ascii="宋体" w:hAnsi="宋体" w:eastAsia="宋体" w:cs="宋体"/>
          <w:color w:val="auto"/>
          <w:kern w:val="2"/>
          <w:sz w:val="40"/>
          <w:szCs w:val="32"/>
          <w:highlight w:val="none"/>
          <w:lang w:val="en-US" w:eastAsia="zh-CN"/>
        </w:rPr>
        <w:t>合同</w:t>
      </w:r>
    </w:p>
    <w:p w14:paraId="086795B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</w:pPr>
    </w:p>
    <w:p w14:paraId="1DF1138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</w:pPr>
    </w:p>
    <w:p w14:paraId="16D3F56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</w:pPr>
    </w:p>
    <w:p w14:paraId="0003A2A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</w:pPr>
    </w:p>
    <w:p w14:paraId="330056A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</w:pPr>
    </w:p>
    <w:p w14:paraId="4C8D5FC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904" w:firstLineChars="300"/>
        <w:jc w:val="left"/>
        <w:textAlignment w:val="auto"/>
        <w:rPr>
          <w:rStyle w:val="11"/>
          <w:rFonts w:hint="eastAsia" w:ascii="宋体" w:hAnsi="宋体" w:eastAsia="宋体" w:cs="宋体"/>
          <w:color w:val="auto"/>
          <w:kern w:val="2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highlight w:val="none"/>
          <w:lang w:val="en-US" w:eastAsia="zh-CN" w:bidi="ar"/>
        </w:rPr>
        <w:t>发包方：</w:t>
      </w:r>
      <w:r>
        <w:rPr>
          <w:rStyle w:val="11"/>
          <w:rFonts w:hint="eastAsia" w:ascii="宋体" w:hAnsi="宋体" w:eastAsia="宋体" w:cs="宋体"/>
          <w:color w:val="auto"/>
          <w:kern w:val="2"/>
          <w:szCs w:val="24"/>
          <w:highlight w:val="none"/>
          <w:u w:val="single"/>
          <w:lang w:val="en-US" w:eastAsia="zh-CN"/>
        </w:rPr>
        <w:t xml:space="preserve">                              </w:t>
      </w:r>
    </w:p>
    <w:p w14:paraId="00827036">
      <w:pPr>
        <w:pStyle w:val="15"/>
        <w:rPr>
          <w:rFonts w:hint="eastAsia" w:ascii="宋体" w:hAnsi="宋体" w:eastAsia="宋体" w:cs="宋体"/>
          <w:color w:val="auto"/>
          <w:highlight w:val="none"/>
        </w:rPr>
      </w:pPr>
    </w:p>
    <w:p w14:paraId="2A4C350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904" w:firstLineChars="300"/>
        <w:jc w:val="left"/>
        <w:textAlignment w:val="auto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highlight w:val="none"/>
          <w:lang w:val="en-US" w:eastAsia="zh-CN" w:bidi="ar"/>
        </w:rPr>
        <w:t>承包方：</w:t>
      </w:r>
      <w:r>
        <w:rPr>
          <w:rStyle w:val="11"/>
          <w:rFonts w:hint="eastAsia" w:ascii="宋体" w:hAnsi="宋体" w:eastAsia="宋体" w:cs="宋体"/>
          <w:color w:val="auto"/>
          <w:kern w:val="2"/>
          <w:szCs w:val="24"/>
          <w:highlight w:val="none"/>
          <w:u w:val="single"/>
          <w:lang w:val="en-US" w:eastAsia="zh-CN"/>
        </w:rPr>
        <w:t xml:space="preserve">                              </w:t>
      </w:r>
    </w:p>
    <w:p w14:paraId="269F02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FC4BD0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1968" w:firstLineChars="7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</w:pPr>
    </w:p>
    <w:p w14:paraId="4D10354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1968" w:firstLineChars="7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</w:pPr>
    </w:p>
    <w:p w14:paraId="704F234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1968" w:firstLineChars="7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  <w:t>时间：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  <w:t>年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  <w:t>月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  <w:t xml:space="preserve">日 </w:t>
      </w:r>
    </w:p>
    <w:p w14:paraId="77AC0ACC">
      <w:pP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  <w:br w:type="page"/>
      </w:r>
    </w:p>
    <w:p w14:paraId="2CC00C8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jc w:val="center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  <w:t>2026年度西安市农灌区地下水监测及运行维护项目合同</w:t>
      </w:r>
    </w:p>
    <w:p w14:paraId="034FA34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发包方：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（甲方） </w:t>
      </w:r>
    </w:p>
    <w:p w14:paraId="651AEDD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承包方：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（乙方） </w:t>
      </w:r>
    </w:p>
    <w:p w14:paraId="6B861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</w:t>
      </w:r>
    </w:p>
    <w:p w14:paraId="437F0E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依据《中华人民共和国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民法典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《中华人民共和国政府采购法》与项目行业有关的法律法规，以及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本项目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采购文件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》，乙方的《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》及《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成交通知书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》，甲、乙双方遵循平等、自愿、公平和诚实信用的原则，甲、乙双方就相关事项达成一致意见，订立本合同。</w:t>
      </w:r>
    </w:p>
    <w:p w14:paraId="1D98308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一、项目内容和服务期限</w:t>
      </w:r>
    </w:p>
    <w:p w14:paraId="2A61F14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（一）项目内容：</w:t>
      </w:r>
    </w:p>
    <w:p w14:paraId="4592625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开展完成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西安市农灌区134眼地下水监测井监测数据采集工作，其中逐日观监测井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20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眼，5日观监测井11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 xml:space="preserve">眼；逐月完成西安市农灌区134眼地下水监测井巡测任务并提供巡测纪实及影像视频资料；逐月完成地下水监测数据审核、报送；按照月度、季度、年度完成监测资料整编，完成年度地下水监测数据资料年鉴整编及刊印；完成西安市农灌区134眼监测井及附属设施设备的管理维护，开展地下水保护宣传。 </w:t>
      </w:r>
    </w:p>
    <w:p w14:paraId="7B9457B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（二）服务期限</w:t>
      </w:r>
    </w:p>
    <w:p w14:paraId="720A659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2026年全年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在采购人确定下一监测年度服务承担单位并签署合同前，成交供应商承诺并保证继续按质、按量提供监测服务并完成相应工作，确保监测工作不中断。</w:t>
      </w:r>
    </w:p>
    <w:p w14:paraId="5C702F4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二、技术要求</w:t>
      </w:r>
    </w:p>
    <w:p w14:paraId="2F56D63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（一）监测数据采集及巡测</w:t>
      </w:r>
    </w:p>
    <w:p w14:paraId="0A9A924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 xml:space="preserve">严格按照《地下水监测规范》（SL183-2005）、《城市地下水动态观测规程》（CJJ76-2012）和《陕西省地下水监测工作规则》等相关技术规范要求完成西安市农灌区134眼地下水监测井采集数据，按照《地下水监测规范》（SL183-2005）等整编数据、逐月及时上报，保证监测数据准确有效。做好监测井及附属设施管理维护，保证监测井及附属设施完整。 </w:t>
      </w:r>
    </w:p>
    <w:p w14:paraId="1A6A3D2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逐月完成西安市农灌区134眼地下水监测井巡测任务并提供巡测纪实及影像视频资料；逐月完成地下水监测数据审核、报送；按照月度、季度、年度完成监测资料整编，完成年度地下水监测数据资料年鉴整编及刊印，完成西安市农灌区134眼监测井及附属设施设备的管理维护，开展地下水保护宣传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每次不少于2名专业技术人员，指导监测员按规范开展数据采集工作，现场校核监测数据，详细记录相关数据，填写“巡测记录表”，采用执法记录仪记录巡测全过程。如发现重大问题，及时向甲方报告。</w:t>
      </w:r>
    </w:p>
    <w:p w14:paraId="4B0BE0E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（二）监测数据报送</w:t>
      </w:r>
    </w:p>
    <w:p w14:paraId="6DBC758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数据报送要保证时效性，每月10日前报送上月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西安市农灌区134眼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监测井采集的原始数据及电子数据，巡测数据、视频及相关资料，整编数据等。</w:t>
      </w:r>
    </w:p>
    <w:p w14:paraId="24C82DA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（三）监测资料整编</w:t>
      </w:r>
    </w:p>
    <w:p w14:paraId="26F4025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资料整编执行《地下水监测工程技术标准》。</w:t>
      </w:r>
    </w:p>
    <w:p w14:paraId="01F3A76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（四）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监测井及附属设施设备的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管理维护</w:t>
      </w:r>
    </w:p>
    <w:p w14:paraId="45F6DA3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1.监测井附属设施设备主要包括井台、标识牌、井口固定点、水准点及测具。监测井及其附属设施设备应有专门技术人员进行经常性维护与管理，应满足《地下水监测工程技术标准》要求。</w:t>
      </w:r>
    </w:p>
    <w:p w14:paraId="15B7A99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2.保证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西安市农灌区134眼地下水监测井每井有一套电测水位计，如有缺损，及时修理或者更新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。电测水位计测量精度符合《地下水监测工程技术标准》要求。</w:t>
      </w:r>
    </w:p>
    <w:p w14:paraId="5D5D68C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（五）完成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年全市地下水水位分析评价分析评价执行《地下水动态分析评价技术指南》。</w:t>
      </w:r>
    </w:p>
    <w:p w14:paraId="543E92D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2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三、成果提交和项目验收</w:t>
      </w:r>
    </w:p>
    <w:p w14:paraId="16D6C30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（一）提交时间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202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日前。</w:t>
      </w:r>
    </w:p>
    <w:p w14:paraId="72FBD3C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（二）成果提交方式和要求</w:t>
      </w:r>
    </w:p>
    <w:p w14:paraId="1530107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提交西安市农灌区134套监测数据（纸质原始资料1份，电子成果1份）；</w:t>
      </w:r>
    </w:p>
    <w:p w14:paraId="199EDCE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提交西安市农灌区134套巡测纪实及影像视频资料；</w:t>
      </w:r>
    </w:p>
    <w:p w14:paraId="61D2501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提交西安市农灌区134眼观测井维修养护资料；</w:t>
      </w:r>
    </w:p>
    <w:p w14:paraId="190A43F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提交年度地下水监测数据资料年鉴10册。</w:t>
      </w:r>
    </w:p>
    <w:p w14:paraId="3DA12F9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提交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年全市地下水水位分析评价3本。</w:t>
      </w:r>
    </w:p>
    <w:p w14:paraId="428854A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提交全市监测站点“一张图”3张。</w:t>
      </w:r>
    </w:p>
    <w:p w14:paraId="40FB089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（三）验收要求</w:t>
      </w:r>
    </w:p>
    <w:p w14:paraId="2E2AEF7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在本项目数据采集任务完成后，经自检合格后，乙方向甲方提交项目成果及巡测影像在内的有关材料，经甲方确认材料齐全、符合相关要求由甲方组织验收。</w:t>
      </w:r>
    </w:p>
    <w:p w14:paraId="7A401D2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（四）验收方法</w:t>
      </w:r>
    </w:p>
    <w:p w14:paraId="1894AF1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乙方提交相关资料、提出验收申请，经甲方初步审核且达到验收条件，由甲方组织、聘请专家进行项目验收。如通过验收，乙方应自通过之日起20日内向甲方提交项目全部成果及相关材料。如未通过验收，由此给甲方带来的损失由乙方承担。</w:t>
      </w:r>
    </w:p>
    <w:p w14:paraId="580DBAE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四、合同价款和支付方式</w:t>
      </w:r>
    </w:p>
    <w:p w14:paraId="0B409CF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付款条件说明：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分期付款</w:t>
      </w:r>
    </w:p>
    <w:p w14:paraId="3E8A308A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firstLine="420" w:firstLineChars="200"/>
        <w:textAlignment w:val="auto"/>
        <w:outlineLvl w:val="3"/>
        <w:rPr>
          <w:rFonts w:hint="eastAsia" w:ascii="宋体" w:hAnsi="宋体" w:eastAsia="宋体" w:cs="宋体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1）付款条件说明：甲乙双方合同签订后，达到付款条件起15日内，支付合同总金额的40%。</w:t>
      </w:r>
    </w:p>
    <w:p w14:paraId="79567BFA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firstLine="420" w:firstLineChars="200"/>
        <w:textAlignment w:val="auto"/>
        <w:outlineLvl w:val="3"/>
        <w:rPr>
          <w:rFonts w:hint="default" w:ascii="宋体" w:hAnsi="宋体" w:eastAsia="宋体" w:cs="宋体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2）付款条件说明：第二次2026年8月底，达到付款条件起 30 日内，支付合同总金额的50%。</w:t>
      </w:r>
    </w:p>
    <w:p w14:paraId="6291344F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firstLine="420" w:firstLineChars="200"/>
        <w:textAlignment w:val="auto"/>
        <w:outlineLvl w:val="3"/>
        <w:rPr>
          <w:rFonts w:hint="eastAsia" w:ascii="宋体" w:hAnsi="宋体" w:eastAsia="宋体" w:cs="宋体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3）付款条件说明：项目完成并通过验收后，达到付款条件起30日内，支付合同总金额的10%。</w:t>
      </w:r>
    </w:p>
    <w:p w14:paraId="5A9970B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2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五、甲乙双方的权利和义务</w:t>
      </w:r>
    </w:p>
    <w:p w14:paraId="1A7EBD0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（一）甲方的权利</w:t>
      </w:r>
    </w:p>
    <w:p w14:paraId="35B3ED8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1.甲方有权按照《地下水监测工程技术标准》和《陕西省地下水监测工作规则》等相关规范，对乙方完成的月度、季度工作进行检查，有权要求乙方对检查发现的问题进行整改。</w:t>
      </w:r>
    </w:p>
    <w:p w14:paraId="789DDFF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2.甲方有权要求乙方按照规定期限完成合同工作任务。</w:t>
      </w:r>
    </w:p>
    <w:p w14:paraId="2A9B51E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3.甲方有权要求乙方对监测数据异常做出合理的书面说明。</w:t>
      </w:r>
    </w:p>
    <w:p w14:paraId="1295313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4.如需更换监测井，甲方有权要求乙方提供合理的更换方案。</w:t>
      </w:r>
    </w:p>
    <w:p w14:paraId="4D70522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5.甲方有权要求乙方按照项目经费使用要求等进行监督、检查，并提出相关询问。</w:t>
      </w:r>
    </w:p>
    <w:p w14:paraId="5757E03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6.项目成果归甲方所有。</w:t>
      </w:r>
    </w:p>
    <w:p w14:paraId="3B0D27B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（二）甲方的义务</w:t>
      </w:r>
    </w:p>
    <w:p w14:paraId="131F840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1.甲方应按照约定期限足额向乙方支付相应合同价款。</w:t>
      </w:r>
    </w:p>
    <w:p w14:paraId="2DB6ACA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2.甲方应提供134眼监测井基本信息。</w:t>
      </w:r>
    </w:p>
    <w:p w14:paraId="4CFB77E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3.甲方指导乙方开展监测井更换相关工作。</w:t>
      </w:r>
    </w:p>
    <w:p w14:paraId="1F877808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atLeast"/>
        <w:ind w:left="0" w:leftChars="0" w:firstLine="64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甲方应提供2020年-2025年全市地下水水位信息。</w:t>
      </w:r>
    </w:p>
    <w:p w14:paraId="4136845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（三）乙方的权利和义务</w:t>
      </w:r>
    </w:p>
    <w:p w14:paraId="3D22994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1.乙方有权要求甲方按照约定期限足额支付相应合同价款。</w:t>
      </w:r>
    </w:p>
    <w:p w14:paraId="48B2427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2.乙方应按本合同的要求，按期保质保量完成测量任务，并按甲方的具体要求提交监测成果及相关材料，包括项目开展过程中购买、调查取得的原始资料。</w:t>
      </w:r>
    </w:p>
    <w:p w14:paraId="719C236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3.乙方应接受甲方对项目工作进度、质量、经费使用等情况的监督、检查，并解答甲方提出的相关询问。</w:t>
      </w:r>
    </w:p>
    <w:p w14:paraId="3CFCD89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4.乙方应按甲方要求对提交的成果进行补充完善。</w:t>
      </w:r>
    </w:p>
    <w:p w14:paraId="7CAF6EB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2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六、保密条款</w:t>
      </w:r>
    </w:p>
    <w:p w14:paraId="20AE4B9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（一）未经甲方同意，乙方不得向其它单位或个人提供与项目有关的材料，包括但不限于购买或调查资料、有关研究资料，中间成果及最终成果。</w:t>
      </w:r>
    </w:p>
    <w:p w14:paraId="6DDB74C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（二）本合同解除或终止后，乙方仍负有保密义务，并应将已有成果及相关资料提交或返还甲方，不得留存任何原件和复印件。</w:t>
      </w:r>
    </w:p>
    <w:p w14:paraId="150975E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（三）如乙方违反保密义务，应按本合同第七条第三项的约定承担违约责任。</w:t>
      </w:r>
    </w:p>
    <w:p w14:paraId="6A141A1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2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七、合同的变更、终止和解除</w:t>
      </w:r>
    </w:p>
    <w:p w14:paraId="7102568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（一）经甲乙双方协商一致，可以变更、解除或终止本合同。</w:t>
      </w:r>
    </w:p>
    <w:p w14:paraId="0F02C3C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（二）因不可抗力、国家政策调整或国家财政困难等原因造成本合同无法继续履行的，本合同终止履行。</w:t>
      </w:r>
    </w:p>
    <w:p w14:paraId="5AA6E51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（三）发生下列情形之一的，甲方有权解除合同，且乙方应向甲方返还已支付的款项；给甲方造成损失的，乙方应进行赔偿：</w:t>
      </w:r>
    </w:p>
    <w:p w14:paraId="06A2D10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1.乙方未按本合同的要求执行项目，且经甲方要求，仍拒不改正的；</w:t>
      </w:r>
    </w:p>
    <w:p w14:paraId="5043455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2.未经甲方同意，乙方转包或分包合同任务的；</w:t>
      </w:r>
    </w:p>
    <w:p w14:paraId="66D07BA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3.乙方未能如期提交项目成果，且经甲方要求，仍未提交的；</w:t>
      </w:r>
    </w:p>
    <w:p w14:paraId="06CB0C8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4.乙方提交的成果未通过项目评审验收，且在30日内或甲方确定的其他期限内仍未通过项目验收的。</w:t>
      </w:r>
    </w:p>
    <w:p w14:paraId="712F228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2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 xml:space="preserve">八、违约责任  </w:t>
      </w:r>
    </w:p>
    <w:p w14:paraId="624FD23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(一)乙方提交的成果必须符合本合同的相关规定，未达到要求的，应按合同标的总金额百分之十向甲方支付违约金，经甲方要求整改后的30日内或甲方确定的其他期限内仍未达到要求，进而导致无法通过项目验收的，甲方有权解除合同，乙方还应同时返还甲方已支付的款项。</w:t>
      </w:r>
    </w:p>
    <w:p w14:paraId="27349E4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(二)乙方如未能按期提交项目成果，每延迟一日应按合同标的总金额千分之一向甲方支付迟延违约金。违约金首先从甲方未支付的项目款项中扣除。乙方逾期超过30日的，甲方有权要求解除合同，并有权要求乙方支付本合同总金额的20%违约金和承担甲方因此遭受的其他直接损失。</w:t>
      </w:r>
    </w:p>
    <w:p w14:paraId="21B79EF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(三)乙方未按合同要求履行义务，且经甲方要求仍拒不改正的，应按合同标的总金额百分之十向甲方支付违约金。如拒不改正的部分或程度等导致本合同目的无法实现的，甲方有权解除合同，乙方还应同时返还甲方已支付的款项。</w:t>
      </w:r>
    </w:p>
    <w:p w14:paraId="03BBC3F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2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九、争议解决和补充协议</w:t>
      </w:r>
    </w:p>
    <w:p w14:paraId="0DBBC9B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因本合同产生或与本合同有关的任何争议，甲乙双方应协商解决，协商不成的依法向甲方所在地人民法院起诉。</w:t>
      </w:r>
    </w:p>
    <w:p w14:paraId="4A42283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2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十、其他</w:t>
      </w:r>
    </w:p>
    <w:p w14:paraId="7580BA3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（一）本合同自双方签字并盖章之日起生效。</w:t>
      </w:r>
    </w:p>
    <w:p w14:paraId="587418B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（二）本合同一式陆份，双方各执叁份。</w:t>
      </w:r>
    </w:p>
    <w:p w14:paraId="718E94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（以下无正文）</w:t>
      </w:r>
    </w:p>
    <w:p w14:paraId="6A2E4908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A539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A4C0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8349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甲方：                                    乙方：</w:t>
      </w:r>
    </w:p>
    <w:p w14:paraId="65EB7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C113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法人代表或授权代表：                      法人代表或授权代表：</w:t>
      </w:r>
    </w:p>
    <w:p w14:paraId="35FC37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</w:t>
      </w:r>
    </w:p>
    <w:p w14:paraId="5AFC4E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年  月  日          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年   月  日</w:t>
      </w:r>
    </w:p>
    <w:p w14:paraId="4692A77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atLeast"/>
        <w:ind w:firstLine="210"/>
        <w:textAlignment w:val="auto"/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1NGYyYzg4MjFkZTlmNDQ4MTgzNzNmNmVkMjE5MGMifQ=="/>
  </w:docVars>
  <w:rsids>
    <w:rsidRoot w:val="78DE75EA"/>
    <w:rsid w:val="005C4D2E"/>
    <w:rsid w:val="0081310C"/>
    <w:rsid w:val="00873CA7"/>
    <w:rsid w:val="00D0141C"/>
    <w:rsid w:val="00D14947"/>
    <w:rsid w:val="01425B7C"/>
    <w:rsid w:val="033A0E44"/>
    <w:rsid w:val="126857B5"/>
    <w:rsid w:val="19F23324"/>
    <w:rsid w:val="1F352D23"/>
    <w:rsid w:val="26777459"/>
    <w:rsid w:val="26EE0F6E"/>
    <w:rsid w:val="357C6CFE"/>
    <w:rsid w:val="39D81C4D"/>
    <w:rsid w:val="3EA8293C"/>
    <w:rsid w:val="40926FFF"/>
    <w:rsid w:val="4717202D"/>
    <w:rsid w:val="4C104442"/>
    <w:rsid w:val="4D35631B"/>
    <w:rsid w:val="56C7506B"/>
    <w:rsid w:val="57B55314"/>
    <w:rsid w:val="62E63AEB"/>
    <w:rsid w:val="69103A47"/>
    <w:rsid w:val="75785CC7"/>
    <w:rsid w:val="78DE75EA"/>
    <w:rsid w:val="7BA22F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unhideWhenUsed/>
    <w:uiPriority w:val="99"/>
    <w:tblPr>
      <w:tblStyle w:val="9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spacing w:after="120"/>
    </w:pPr>
    <w:rPr>
      <w:szCs w:val="24"/>
    </w:r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</w:style>
  <w:style w:type="paragraph" w:styleId="5">
    <w:name w:val="Body Text First Indent 2"/>
    <w:basedOn w:val="4"/>
    <w:qFormat/>
    <w:uiPriority w:val="0"/>
    <w:pPr>
      <w:ind w:firstLine="420" w:firstLineChars="200"/>
    </w:p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标题 1 Char"/>
    <w:link w:val="2"/>
    <w:qFormat/>
    <w:uiPriority w:val="0"/>
    <w:rPr>
      <w:rFonts w:ascii="黑体" w:eastAsia="黑体"/>
      <w:sz w:val="28"/>
    </w:rPr>
  </w:style>
  <w:style w:type="character" w:customStyle="1" w:styleId="12">
    <w:name w:val="页脚 Char"/>
    <w:basedOn w:val="10"/>
    <w:link w:val="6"/>
    <w:qFormat/>
    <w:uiPriority w:val="0"/>
    <w:rPr>
      <w:kern w:val="2"/>
      <w:sz w:val="18"/>
      <w:szCs w:val="18"/>
    </w:rPr>
  </w:style>
  <w:style w:type="character" w:customStyle="1" w:styleId="13">
    <w:name w:val="页眉 Char"/>
    <w:basedOn w:val="10"/>
    <w:link w:val="7"/>
    <w:qFormat/>
    <w:uiPriority w:val="0"/>
    <w:rPr>
      <w:kern w:val="2"/>
      <w:sz w:val="18"/>
      <w:szCs w:val="18"/>
    </w:rPr>
  </w:style>
  <w:style w:type="paragraph" w:customStyle="1" w:styleId="14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Segoe UI" w:hAnsi="Segoe UI" w:eastAsia="宋体" w:cs="Segoe U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3094</Words>
  <Characters>3213</Characters>
  <Lines>23</Lines>
  <Paragraphs>6</Paragraphs>
  <TotalTime>0</TotalTime>
  <ScaleCrop>false</ScaleCrop>
  <LinksUpToDate>false</LinksUpToDate>
  <CharactersWithSpaces>3497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2025-09-23T07:04:00Z</dcterms:created>
  <dc:creator>么么哒</dc:creator>
  <cp:lastModifiedBy>wjj</cp:lastModifiedBy>
  <dcterms:modified xsi:type="dcterms:W3CDTF">2026-03-20T10:12:13Z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39FCBBA42EE841E691AE2F042EFD7F1C_13</vt:lpwstr>
  </property>
  <property fmtid="{D5CDD505-2E9C-101B-9397-08002B2CF9AE}" pid="4" name="KSOTemplateDocerSaveRecord">
    <vt:lpwstr>eyJoZGlkIjoiMzEwNTM5NzYwMDRjMzkwZTVkZjY2ODkwMGIxNGU0OTUiLCJ1c2VySWQiOiIxMDg5Nzk1MjM1In0=</vt:lpwstr>
  </property>
</Properties>
</file>