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版本号：THXZB2025—109020260323001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男科设备一批采购项目(二次)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THXZB2025—1090</w:t>
      </w:r>
      <w:r>
        <w:br/>
      </w:r>
      <w:r>
        <w:br/>
      </w:r>
      <w:r>
        <w:br/>
      </w:r>
    </w:p>
    <w:p>
      <w:pPr>
        <w:pStyle w:val="null3"/>
        <w:jc w:val="center"/>
        <w:outlineLvl w:val="2"/>
      </w:pPr>
      <w:r>
        <w:rPr>
          <w:rFonts w:ascii="仿宋_GB2312" w:hAnsi="仿宋_GB2312" w:cs="仿宋_GB2312" w:eastAsia="仿宋_GB2312"/>
          <w:sz w:val="28"/>
          <w:b/>
        </w:rPr>
        <w:t>西安市中医医院</w:t>
      </w:r>
    </w:p>
    <w:p>
      <w:pPr>
        <w:pStyle w:val="null3"/>
        <w:jc w:val="center"/>
        <w:outlineLvl w:val="2"/>
      </w:pPr>
      <w:r>
        <w:rPr>
          <w:rFonts w:ascii="仿宋_GB2312" w:hAnsi="仿宋_GB2312" w:cs="仿宋_GB2312" w:eastAsia="仿宋_GB2312"/>
          <w:sz w:val="28"/>
          <w:b/>
        </w:rPr>
        <w:t>陕西天鸿信项目管理有限公司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陕西天鸿信项目管理有限公司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西安市中医医院</w:t>
      </w:r>
      <w:r>
        <w:rPr>
          <w:rFonts w:ascii="仿宋_GB2312" w:hAnsi="仿宋_GB2312" w:cs="仿宋_GB2312" w:eastAsia="仿宋_GB2312"/>
        </w:rPr>
        <w:t>委托，拟对</w:t>
      </w:r>
      <w:r>
        <w:rPr>
          <w:rFonts w:ascii="仿宋_GB2312" w:hAnsi="仿宋_GB2312" w:cs="仿宋_GB2312" w:eastAsia="仿宋_GB2312"/>
        </w:rPr>
        <w:t>男科设备一批采购项目(二次)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THXZB2025—1090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男科设备一批采购项目(二次)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为西安市中医医院采购一批男科设备。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p>
      <w:pPr>
        <w:pStyle w:val="null3"/>
      </w:pPr>
      <w:r>
        <w:rPr>
          <w:rFonts w:ascii="仿宋_GB2312" w:hAnsi="仿宋_GB2312" w:cs="仿宋_GB2312" w:eastAsia="仿宋_GB2312"/>
        </w:rPr>
        <w:t>2、法定代表人或被授权人身份证明：法定代表人直接谈判须提交法定代表人证明书，法定代表人授权代表参加谈判的，须出具法定代表人证明书及授权书、授权本单位的证明（提供近三个月的社会保障资金缴纳证明），供应商需在项目电子化交易系统中按要求上传相应证明文件并进行电子签章；</w:t>
      </w:r>
    </w:p>
    <w:p>
      <w:pPr>
        <w:pStyle w:val="null3"/>
      </w:pPr>
      <w:r>
        <w:rPr>
          <w:rFonts w:ascii="仿宋_GB2312" w:hAnsi="仿宋_GB2312" w:cs="仿宋_GB2312" w:eastAsia="仿宋_GB2312"/>
        </w:rPr>
        <w:t>3、财务状况：供应商须提供2024年度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p>
      <w:pPr>
        <w:pStyle w:val="null3"/>
      </w:pPr>
      <w:r>
        <w:rPr>
          <w:rFonts w:ascii="仿宋_GB2312" w:hAnsi="仿宋_GB2312" w:cs="仿宋_GB2312" w:eastAsia="仿宋_GB2312"/>
        </w:rPr>
        <w:t>4、企业资质：生产厂家直接参加投标的须提供《医疗器械生产许可证》；代理商参加投标的须提供《医疗器械经营许可证》（或备案凭证）及所投设备生产厂家的《医疗器械生产许可证》，供应商需在项目电子化交易系统中按要求上传相应证明文件并进行电子签章；</w:t>
      </w:r>
    </w:p>
    <w:p>
      <w:pPr>
        <w:pStyle w:val="null3"/>
      </w:pPr>
      <w:r>
        <w:rPr>
          <w:rFonts w:ascii="仿宋_GB2312" w:hAnsi="仿宋_GB2312" w:cs="仿宋_GB2312" w:eastAsia="仿宋_GB2312"/>
        </w:rPr>
        <w:t>5、产品资质：所投设备属于医疗器械分类的须提供《医疗器械产品注册证》或《医疗器械产品备案证》，供应商需在项目电子化交易系统中按要求上传相应证明文件并进行电子签章；</w:t>
      </w:r>
    </w:p>
    <w:p>
      <w:pPr>
        <w:pStyle w:val="null3"/>
      </w:pPr>
      <w:r>
        <w:rPr>
          <w:rFonts w:ascii="仿宋_GB2312" w:hAnsi="仿宋_GB2312" w:cs="仿宋_GB2312" w:eastAsia="仿宋_GB2312"/>
        </w:rPr>
        <w:t>6、缴税证明：供应商须提供谈判截止时间前12个月内任意三个月的缴税证明，（注：依法免税或零申报的供应商须提供相关文件证明；若为新成立企业可提供相应月度的缴税证明），供应商需在项目电子化交易系统中按要求上传相应证明文件并进行电子签章；</w:t>
      </w:r>
    </w:p>
    <w:p>
      <w:pPr>
        <w:pStyle w:val="null3"/>
      </w:pPr>
      <w:r>
        <w:rPr>
          <w:rFonts w:ascii="仿宋_GB2312" w:hAnsi="仿宋_GB2312" w:cs="仿宋_GB2312" w:eastAsia="仿宋_GB2312"/>
        </w:rPr>
        <w:t>7、社会保险缴纳证明：供应商须提供谈判截止时间前12个月内任意三个月的的社会保险缴纳证明，（注：依法不需要缴纳社会保障资金的供应商应提供相关文件证明；若为新成立企业可提供相应月度的社会保险缴纳证明），供应商需在项目电子化交易系统中按要求上传相应证明文件并进行电子签章；</w:t>
      </w:r>
    </w:p>
    <w:p>
      <w:pPr>
        <w:pStyle w:val="null3"/>
      </w:pPr>
      <w:r>
        <w:rPr>
          <w:rFonts w:ascii="仿宋_GB2312" w:hAnsi="仿宋_GB2312" w:cs="仿宋_GB2312" w:eastAsia="仿宋_GB2312"/>
        </w:rPr>
        <w:t>8、具有履行合同所必需的设备和专业技术能力的承诺函：供应商须提供具有履行合同所必需的设备和专业技术能力的承诺函，供应商需在项目电子化交易系统中按要求上传相应证明文件并进行电子签章；</w:t>
      </w:r>
    </w:p>
    <w:p>
      <w:pPr>
        <w:pStyle w:val="null3"/>
      </w:pPr>
      <w:r>
        <w:rPr>
          <w:rFonts w:ascii="仿宋_GB2312" w:hAnsi="仿宋_GB2312" w:cs="仿宋_GB2312" w:eastAsia="仿宋_GB2312"/>
        </w:rPr>
        <w:t>9、没有重大违法记录的书面声明：供应商应具备良好的商业信誉，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10、信用查询：供应商不得为“信用中国”网站中被列入失信被执行人、重大税收违法案件当事人名单，不得为中国政府采购网中政府采购严重违法失信行为记录名单中被财政部门禁止参加政府采购活动的供应商，供应商进入相关部门“黑名单”以及有行贿、串标等违法违规行为并经查实的不能参与项目的投标活动。对“黑名单”中供应商采取“一票否决”及“随时叫停”机制，在项目招标各环节一旦发现并查实有行贿等违法违规行为的，立即取消其相关资格且终止合同签订。（不强制要求供应商提供查询截图，以开标当日网上查询结果为评审依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p>
      <w:pPr>
        <w:pStyle w:val="null3"/>
      </w:pPr>
      <w:r>
        <w:rPr>
          <w:rFonts w:ascii="仿宋_GB2312" w:hAnsi="仿宋_GB2312" w:cs="仿宋_GB2312" w:eastAsia="仿宋_GB2312"/>
        </w:rPr>
        <w:t>2、法定代表人或被授权人身份证明：法定代表人直接谈判须提交法定代表人证明书，法定代表人授权代表参加谈判的，须出具法定代表人证明书及授权书、授权本单位的证明（提供近三个月的社会保障资金缴纳证明），供应商需在项目电子化交易系统中按要求上传相应证明文件并进行电子签章；</w:t>
      </w:r>
    </w:p>
    <w:p>
      <w:pPr>
        <w:pStyle w:val="null3"/>
      </w:pPr>
      <w:r>
        <w:rPr>
          <w:rFonts w:ascii="仿宋_GB2312" w:hAnsi="仿宋_GB2312" w:cs="仿宋_GB2312" w:eastAsia="仿宋_GB2312"/>
        </w:rPr>
        <w:t>3、财务状况：供应商须提供2024年度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p>
      <w:pPr>
        <w:pStyle w:val="null3"/>
      </w:pPr>
      <w:r>
        <w:rPr>
          <w:rFonts w:ascii="仿宋_GB2312" w:hAnsi="仿宋_GB2312" w:cs="仿宋_GB2312" w:eastAsia="仿宋_GB2312"/>
        </w:rPr>
        <w:t>4、企业资质：生产厂家直接参加投标的须提供《医疗器械生产许可证》；代理商参加投标的须提供《医疗器械经营许可证》（或备案凭证）及所投设备生产厂家的《医疗器械生产许可证》，供应商需在项目电子化交易系统中按要求上传相应证明文件并进行电子签章；</w:t>
      </w:r>
    </w:p>
    <w:p>
      <w:pPr>
        <w:pStyle w:val="null3"/>
      </w:pPr>
      <w:r>
        <w:rPr>
          <w:rFonts w:ascii="仿宋_GB2312" w:hAnsi="仿宋_GB2312" w:cs="仿宋_GB2312" w:eastAsia="仿宋_GB2312"/>
        </w:rPr>
        <w:t>5、产品资质：所投设备属于医疗器械分类的须提供《医疗器械产品注册证》或《医疗器械产品备案证》，供应商需在项目电子化交易系统中按要求上传相应证明文件并进行电子签章；</w:t>
      </w:r>
    </w:p>
    <w:p>
      <w:pPr>
        <w:pStyle w:val="null3"/>
      </w:pPr>
      <w:r>
        <w:rPr>
          <w:rFonts w:ascii="仿宋_GB2312" w:hAnsi="仿宋_GB2312" w:cs="仿宋_GB2312" w:eastAsia="仿宋_GB2312"/>
        </w:rPr>
        <w:t>6、缴税证明：供应商须提供谈判截止时间前12个月内任意三个月的缴税证明，（注：依法免税或零申报的供应商须提供相关文件证明；若为新成立企业可提供相应月度的缴税证明），供应商需在项目电子化交易系统中按要求上传相应证明文件并进行电子签章；</w:t>
      </w:r>
    </w:p>
    <w:p>
      <w:pPr>
        <w:pStyle w:val="null3"/>
      </w:pPr>
      <w:r>
        <w:rPr>
          <w:rFonts w:ascii="仿宋_GB2312" w:hAnsi="仿宋_GB2312" w:cs="仿宋_GB2312" w:eastAsia="仿宋_GB2312"/>
        </w:rPr>
        <w:t>7、社会保险缴纳证明：供应商须提供谈判截止时间前12个月内任意三个月的的社会保险缴纳证明，（注：依法不需要缴纳社会保障资金的供应商应提供相关文件证明；若为新成立企业可提供相应月度的社会保险缴纳证明），供应商需在项目电子化交易系统中按要求上传相应证明文件并进行电子签章；</w:t>
      </w:r>
    </w:p>
    <w:p>
      <w:pPr>
        <w:pStyle w:val="null3"/>
      </w:pPr>
      <w:r>
        <w:rPr>
          <w:rFonts w:ascii="仿宋_GB2312" w:hAnsi="仿宋_GB2312" w:cs="仿宋_GB2312" w:eastAsia="仿宋_GB2312"/>
        </w:rPr>
        <w:t>8、具有履行合同所必需的设备和专业技术能力的承诺函：供应商须提供具有履行合同所必需的设备和专业技术能力的承诺函，供应商需在项目电子化交易系统中按要求上传相应证明文件并进行电子签章；</w:t>
      </w:r>
    </w:p>
    <w:p>
      <w:pPr>
        <w:pStyle w:val="null3"/>
      </w:pPr>
      <w:r>
        <w:rPr>
          <w:rFonts w:ascii="仿宋_GB2312" w:hAnsi="仿宋_GB2312" w:cs="仿宋_GB2312" w:eastAsia="仿宋_GB2312"/>
        </w:rPr>
        <w:t>9、没有重大违法记录的书面声明：供应商应具备良好的商业信誉，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10、信用查询：供应商不得为“信用中国”网站中被列入失信被执行人、重大税收违法案件当事人名单，不得为中国政府采购网中政府采购严重违法失信行为记录名单中被财政部门禁止参加政府采购活动的供应商，供应商进入相关部门“黑名单”以及有行贿、串标等违法违规行为并经查实的不能参与项目的投标活动。对“黑名单”中供应商采取“一票否决”及“随时叫停”机制，在项目招标各环节一旦发现并查实有行贿等违法违规行为的，立即取消其相关资格且终止合同签订。（不强制要求供应商提供查询截图，以开标当日网上查询结果为评审依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能力：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p>
      <w:pPr>
        <w:pStyle w:val="null3"/>
      </w:pPr>
      <w:r>
        <w:rPr>
          <w:rFonts w:ascii="仿宋_GB2312" w:hAnsi="仿宋_GB2312" w:cs="仿宋_GB2312" w:eastAsia="仿宋_GB2312"/>
        </w:rPr>
        <w:t>2、法定代表人或被授权人身份证明：法定代表人直接谈判须提交法定代表人证明书，法定代表人授权代表参加谈判的，须出具法定代表人证明书及授权书、授权本单位的证明（提供近三个月的社会保障资金缴纳证明），供应商需在项目电子化交易系统中按要求上传相应证明文件并进行电子签章；</w:t>
      </w:r>
    </w:p>
    <w:p>
      <w:pPr>
        <w:pStyle w:val="null3"/>
      </w:pPr>
      <w:r>
        <w:rPr>
          <w:rFonts w:ascii="仿宋_GB2312" w:hAnsi="仿宋_GB2312" w:cs="仿宋_GB2312" w:eastAsia="仿宋_GB2312"/>
        </w:rPr>
        <w:t>3、财务状况：供应商须提供2024年度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p>
      <w:pPr>
        <w:pStyle w:val="null3"/>
      </w:pPr>
      <w:r>
        <w:rPr>
          <w:rFonts w:ascii="仿宋_GB2312" w:hAnsi="仿宋_GB2312" w:cs="仿宋_GB2312" w:eastAsia="仿宋_GB2312"/>
        </w:rPr>
        <w:t>4、企业资质：生产厂家直接参加投标的须提供《医疗器械生产许可证》；代理商参加投标的须提供《医疗器械经营许可证》（或备案凭证）及所投设备生产厂家的《医疗器械生产许可证》，供应商需在项目电子化交易系统中按要求上传相应证明文件并进行电子签章；</w:t>
      </w:r>
    </w:p>
    <w:p>
      <w:pPr>
        <w:pStyle w:val="null3"/>
      </w:pPr>
      <w:r>
        <w:rPr>
          <w:rFonts w:ascii="仿宋_GB2312" w:hAnsi="仿宋_GB2312" w:cs="仿宋_GB2312" w:eastAsia="仿宋_GB2312"/>
        </w:rPr>
        <w:t>5、产品资质：所投设备属于医疗器械分类的须提供《医疗器械产品注册证》或《医疗器械产品备案证》，供应商需在项目电子化交易系统中按要求上传相应证明文件并进行电子签章；</w:t>
      </w:r>
    </w:p>
    <w:p>
      <w:pPr>
        <w:pStyle w:val="null3"/>
      </w:pPr>
      <w:r>
        <w:rPr>
          <w:rFonts w:ascii="仿宋_GB2312" w:hAnsi="仿宋_GB2312" w:cs="仿宋_GB2312" w:eastAsia="仿宋_GB2312"/>
        </w:rPr>
        <w:t>6、缴税证明：供应商须提供谈判截止时间前12个月内任意三个月的缴税证明，（注：依法免税或零申报的供应商须提供相关文件证明；若为新成立企业可提供相应月度的缴税证明），供应商需在项目电子化交易系统中按要求上传相应证明文件并进行电子签章；</w:t>
      </w:r>
    </w:p>
    <w:p>
      <w:pPr>
        <w:pStyle w:val="null3"/>
      </w:pPr>
      <w:r>
        <w:rPr>
          <w:rFonts w:ascii="仿宋_GB2312" w:hAnsi="仿宋_GB2312" w:cs="仿宋_GB2312" w:eastAsia="仿宋_GB2312"/>
        </w:rPr>
        <w:t>7、社会保险缴纳证明：供应商须提供谈判截止时间前12个月内任意三个月的的社会保险缴纳证明，（注：依法不需要缴纳社会保障资金的供应商应提供相关文件证明；若为新成立企业可提供相应月度的社会保险缴纳证明），供应商需在项目电子化交易系统中按要求上传相应证明文件并进行电子签章；</w:t>
      </w:r>
    </w:p>
    <w:p>
      <w:pPr>
        <w:pStyle w:val="null3"/>
      </w:pPr>
      <w:r>
        <w:rPr>
          <w:rFonts w:ascii="仿宋_GB2312" w:hAnsi="仿宋_GB2312" w:cs="仿宋_GB2312" w:eastAsia="仿宋_GB2312"/>
        </w:rPr>
        <w:t>8、具有履行合同所必需的设备和专业技术能力的承诺函：供应商须提供具有履行合同所必需的设备和专业技术能力的承诺函，供应商需在项目电子化交易系统中按要求上传相应证明文件并进行电子签章；</w:t>
      </w:r>
    </w:p>
    <w:p>
      <w:pPr>
        <w:pStyle w:val="null3"/>
      </w:pPr>
      <w:r>
        <w:rPr>
          <w:rFonts w:ascii="仿宋_GB2312" w:hAnsi="仿宋_GB2312" w:cs="仿宋_GB2312" w:eastAsia="仿宋_GB2312"/>
        </w:rPr>
        <w:t>9、没有重大违法记录的书面声明：供应商应具备良好的商业信誉，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10、信用查询：供应商不得为“信用中国”网站中被列入失信被执行人、重大税收违法案件当事人名单，不得为中国政府采购网中政府采购严重违法失信行为记录名单中被财政部门禁止参加政府采购活动的供应商，供应商进入相关部门“黑名单”以及有行贿、串标等违法违规行为并经查实的不能参与项目的投标活动。对“黑名单”中供应商采取“一票否决”及“随时叫停”机制，在项目招标各环节一旦发现并查实有行贿等违法违规行为的，立即取消其相关资格且终止合同签订。（不强制要求供应商提供查询截图，以开标当日网上查询结果为评审依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西安市中医医院经办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029-89626819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陕西天鸿信项目管理有限公司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陕西省西安市雁塔区雁南二路西京公司西京科创园三号楼25楼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卢工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029-88210791转809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采购包1：96,000.00元</w:t>
            </w:r>
          </w:p>
          <w:p>
            <w:pPr>
              <w:pStyle w:val="null3"/>
            </w:pPr>
            <w:r>
              <w:rPr>
                <w:rFonts w:ascii="仿宋_GB2312" w:hAnsi="仿宋_GB2312" w:cs="仿宋_GB2312" w:eastAsia="仿宋_GB2312"/>
              </w:rPr>
              <w:t>采购包2：130,000.00元</w:t>
            </w:r>
          </w:p>
          <w:p>
            <w:pPr>
              <w:pStyle w:val="null3"/>
            </w:pPr>
            <w:r>
              <w:rPr>
                <w:rFonts w:ascii="仿宋_GB2312" w:hAnsi="仿宋_GB2312" w:cs="仿宋_GB2312" w:eastAsia="仿宋_GB2312"/>
              </w:rPr>
              <w:t>采购包3：130,000.00元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台式计算机、激光打印机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文件规定下浮30%计取，以中标金额作为基数，差额累进法进行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西安市中医医院</w:t>
      </w:r>
      <w:r>
        <w:rPr>
          <w:rFonts w:ascii="仿宋_GB2312" w:hAnsi="仿宋_GB2312" w:cs="仿宋_GB2312" w:eastAsia="仿宋_GB2312"/>
        </w:rPr>
        <w:t>和</w:t>
      </w:r>
      <w:r>
        <w:rPr>
          <w:rFonts w:ascii="仿宋_GB2312" w:hAnsi="仿宋_GB2312" w:cs="仿宋_GB2312" w:eastAsia="仿宋_GB2312"/>
        </w:rPr>
        <w:t>陕西天鸿信项目管理有限公司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西安市中医医院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陕西天鸿信项目管理有限公司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陕西天鸿信项目管理有限公司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按照相关规定执行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按照相关规定执行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按照相关规定执行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联系人：卢工</w:t>
      </w:r>
    </w:p>
    <w:p>
      <w:pPr>
        <w:pStyle w:val="null3"/>
      </w:pPr>
      <w:r>
        <w:rPr>
          <w:rFonts w:ascii="仿宋_GB2312" w:hAnsi="仿宋_GB2312" w:cs="仿宋_GB2312" w:eastAsia="仿宋_GB2312"/>
        </w:rPr>
        <w:t>联系电话：029-88210791转809</w:t>
      </w:r>
    </w:p>
    <w:p>
      <w:pPr>
        <w:pStyle w:val="null3"/>
      </w:pPr>
      <w:r>
        <w:rPr>
          <w:rFonts w:ascii="仿宋_GB2312" w:hAnsi="仿宋_GB2312" w:cs="仿宋_GB2312" w:eastAsia="仿宋_GB2312"/>
        </w:rPr>
        <w:t>地址：陕西省西安市雁塔区雁南二路西京公司西京科创园三号楼25楼</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为西安市中医医院采购一批男科设备。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96,000.00</w:t>
      </w:r>
    </w:p>
    <w:p>
      <w:pPr>
        <w:pStyle w:val="null3"/>
      </w:pPr>
      <w:r>
        <w:rPr>
          <w:rFonts w:ascii="仿宋_GB2312" w:hAnsi="仿宋_GB2312" w:cs="仿宋_GB2312" w:eastAsia="仿宋_GB2312"/>
        </w:rPr>
        <w:t>采购包最高限价（元）: 96,000.00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前列腺治疗仪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96,000.00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130,000.00</w:t>
      </w:r>
    </w:p>
    <w:p>
      <w:pPr>
        <w:pStyle w:val="null3"/>
      </w:pPr>
      <w:r>
        <w:rPr>
          <w:rFonts w:ascii="仿宋_GB2312" w:hAnsi="仿宋_GB2312" w:cs="仿宋_GB2312" w:eastAsia="仿宋_GB2312"/>
        </w:rPr>
        <w:t>采购包最高限价（元）: 130,000.00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膀胱扫描仪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130,000.00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130,000.00</w:t>
      </w:r>
    </w:p>
    <w:p>
      <w:pPr>
        <w:pStyle w:val="null3"/>
      </w:pPr>
      <w:r>
        <w:rPr>
          <w:rFonts w:ascii="仿宋_GB2312" w:hAnsi="仿宋_GB2312" w:cs="仿宋_GB2312" w:eastAsia="仿宋_GB2312"/>
        </w:rPr>
        <w:t>采购包最高限价（元）: 130,000.00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男性功能检测仪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标的名称：前列腺治疗仪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前列腺治疗仪：两台，单台限价4.8万元</w:t>
            </w:r>
          </w:p>
          <w:p>
            <w:pPr>
              <w:pStyle w:val="null3"/>
              <w:jc w:val="left"/>
            </w:pPr>
            <w:r>
              <w:rPr>
                <w:rFonts w:ascii="仿宋_GB2312" w:hAnsi="仿宋_GB2312" w:cs="仿宋_GB2312" w:eastAsia="仿宋_GB2312"/>
                <w:sz w:val="21"/>
              </w:rPr>
              <w:t>一、技术参数：</w:t>
            </w:r>
          </w:p>
          <w:p>
            <w:pPr>
              <w:pStyle w:val="null3"/>
              <w:jc w:val="left"/>
            </w:pPr>
            <w:r>
              <w:rPr>
                <w:rFonts w:ascii="仿宋_GB2312" w:hAnsi="仿宋_GB2312" w:cs="仿宋_GB2312" w:eastAsia="仿宋_GB2312"/>
                <w:sz w:val="21"/>
              </w:rPr>
              <w:t>★1.适用范围：前列腺炎治疗。</w:t>
            </w:r>
          </w:p>
          <w:p>
            <w:pPr>
              <w:pStyle w:val="null3"/>
              <w:jc w:val="left"/>
            </w:pPr>
            <w:r>
              <w:rPr>
                <w:rFonts w:ascii="仿宋_GB2312" w:hAnsi="仿宋_GB2312" w:cs="仿宋_GB2312" w:eastAsia="仿宋_GB2312"/>
                <w:sz w:val="21"/>
              </w:rPr>
              <w:t>2.治疗头振动强度可调。</w:t>
            </w:r>
          </w:p>
          <w:p>
            <w:pPr>
              <w:pStyle w:val="null3"/>
              <w:jc w:val="left"/>
            </w:pPr>
            <w:r>
              <w:rPr>
                <w:rFonts w:ascii="仿宋_GB2312" w:hAnsi="仿宋_GB2312" w:cs="仿宋_GB2312" w:eastAsia="仿宋_GB2312"/>
                <w:sz w:val="21"/>
              </w:rPr>
              <w:t>★3.治疗头剩磁感应强度≥80mT。</w:t>
            </w:r>
          </w:p>
          <w:p>
            <w:pPr>
              <w:pStyle w:val="null3"/>
              <w:jc w:val="left"/>
            </w:pPr>
            <w:r>
              <w:rPr>
                <w:rFonts w:ascii="仿宋_GB2312" w:hAnsi="仿宋_GB2312" w:cs="仿宋_GB2312" w:eastAsia="仿宋_GB2312"/>
                <w:sz w:val="21"/>
              </w:rPr>
              <w:t>★4.治疗头温度可调，范围为35℃-50℃；当治疗头表面温度≥60℃时，具有断路保护功能。</w:t>
            </w:r>
          </w:p>
          <w:p>
            <w:pPr>
              <w:pStyle w:val="null3"/>
              <w:jc w:val="left"/>
            </w:pPr>
            <w:r>
              <w:rPr>
                <w:rFonts w:ascii="仿宋_GB2312" w:hAnsi="仿宋_GB2312" w:cs="仿宋_GB2312" w:eastAsia="仿宋_GB2312"/>
                <w:sz w:val="21"/>
              </w:rPr>
              <w:t>★5.治疗时间可调，范围为10-120min。</w:t>
            </w:r>
          </w:p>
          <w:p>
            <w:pPr>
              <w:pStyle w:val="null3"/>
              <w:jc w:val="left"/>
            </w:pPr>
            <w:r>
              <w:rPr>
                <w:rFonts w:ascii="仿宋_GB2312" w:hAnsi="仿宋_GB2312" w:cs="仿宋_GB2312" w:eastAsia="仿宋_GB2312"/>
                <w:sz w:val="21"/>
              </w:rPr>
              <w:t>6.治疗探头形状符合人体自然结构，可经直肠施治于前列腺病灶。</w:t>
            </w:r>
          </w:p>
          <w:p>
            <w:pPr>
              <w:pStyle w:val="null3"/>
              <w:jc w:val="left"/>
            </w:pPr>
            <w:r>
              <w:rPr>
                <w:rFonts w:ascii="仿宋_GB2312" w:hAnsi="仿宋_GB2312" w:cs="仿宋_GB2312" w:eastAsia="仿宋_GB2312"/>
                <w:sz w:val="21"/>
              </w:rPr>
              <w:t>7.具有语音提示功能及治疗头故障报警功能。</w:t>
            </w:r>
          </w:p>
          <w:p>
            <w:pPr>
              <w:pStyle w:val="null3"/>
              <w:jc w:val="left"/>
            </w:pPr>
            <w:r>
              <w:rPr>
                <w:rFonts w:ascii="仿宋_GB2312" w:hAnsi="仿宋_GB2312" w:cs="仿宋_GB2312" w:eastAsia="仿宋_GB2312"/>
                <w:sz w:val="21"/>
              </w:rPr>
              <w:t>8.液晶显示屏。</w:t>
            </w:r>
          </w:p>
          <w:p>
            <w:pPr>
              <w:pStyle w:val="null3"/>
              <w:jc w:val="left"/>
            </w:pPr>
            <w:r>
              <w:rPr>
                <w:rFonts w:ascii="仿宋_GB2312" w:hAnsi="仿宋_GB2312" w:cs="仿宋_GB2312" w:eastAsia="仿宋_GB2312"/>
                <w:sz w:val="21"/>
              </w:rPr>
              <w:t>9.带USB端口。</w:t>
            </w:r>
          </w:p>
          <w:p>
            <w:pPr>
              <w:pStyle w:val="null3"/>
              <w:jc w:val="left"/>
            </w:pPr>
            <w:r>
              <w:rPr>
                <w:rFonts w:ascii="仿宋_GB2312" w:hAnsi="仿宋_GB2312" w:cs="仿宋_GB2312" w:eastAsia="仿宋_GB2312"/>
                <w:sz w:val="21"/>
              </w:rPr>
              <w:t>二、单台配置要求：</w:t>
            </w:r>
          </w:p>
          <w:p>
            <w:pPr>
              <w:pStyle w:val="null3"/>
              <w:jc w:val="left"/>
            </w:pPr>
            <w:r>
              <w:rPr>
                <w:rFonts w:ascii="仿宋_GB2312" w:hAnsi="仿宋_GB2312" w:cs="仿宋_GB2312" w:eastAsia="仿宋_GB2312"/>
                <w:sz w:val="21"/>
              </w:rPr>
              <w:t>主机：1台、治疗头：4支、连接线：2根、磁块：2块、电源线：1根。</w:t>
            </w:r>
          </w:p>
          <w:p>
            <w:pPr>
              <w:pStyle w:val="null3"/>
            </w:pPr>
            <w:r>
              <w:rPr>
                <w:rFonts w:ascii="仿宋_GB2312" w:hAnsi="仿宋_GB2312" w:cs="仿宋_GB2312" w:eastAsia="仿宋_GB2312"/>
                <w:sz w:val="21"/>
                <w:b/>
              </w:rPr>
              <w:t>备注：技术参数所有项不允许负偏离，供应商提供的产品须完全满足所有参数要求，其中★标项须提供证明材料，证明材料包括但不限于产品的彩页、产品的功能截图、产品的第三方检测报告等其他证明材料。如参数负偏离或未提供★标项证明材料，按无效文件处理</w:t>
            </w:r>
            <w:r>
              <w:rPr>
                <w:rFonts w:ascii="仿宋_GB2312" w:hAnsi="仿宋_GB2312" w:cs="仿宋_GB2312" w:eastAsia="仿宋_GB2312"/>
                <w:sz w:val="21"/>
                <w:b/>
              </w:rPr>
              <w:t>。</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标的名称：膀胱扫描仪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膀胱扫描仪：两台，单台限价6.5万元</w:t>
            </w:r>
          </w:p>
          <w:p>
            <w:pPr>
              <w:pStyle w:val="null3"/>
              <w:jc w:val="left"/>
            </w:pPr>
            <w:r>
              <w:rPr>
                <w:rFonts w:ascii="仿宋_GB2312" w:hAnsi="仿宋_GB2312" w:cs="仿宋_GB2312" w:eastAsia="仿宋_GB2312"/>
                <w:sz w:val="21"/>
              </w:rPr>
              <w:t>一、技术参数：</w:t>
            </w:r>
          </w:p>
          <w:p>
            <w:pPr>
              <w:pStyle w:val="null3"/>
              <w:jc w:val="left"/>
            </w:pPr>
            <w:r>
              <w:rPr>
                <w:rFonts w:ascii="仿宋_GB2312" w:hAnsi="仿宋_GB2312" w:cs="仿宋_GB2312" w:eastAsia="仿宋_GB2312"/>
                <w:sz w:val="21"/>
              </w:rPr>
              <w:t>★1.适用范围：膀胱容积测量。</w:t>
            </w:r>
          </w:p>
          <w:p>
            <w:pPr>
              <w:pStyle w:val="null3"/>
              <w:jc w:val="left"/>
            </w:pPr>
            <w:r>
              <w:rPr>
                <w:rFonts w:ascii="仿宋_GB2312" w:hAnsi="仿宋_GB2312" w:cs="仿宋_GB2312" w:eastAsia="仿宋_GB2312"/>
                <w:sz w:val="21"/>
              </w:rPr>
              <w:t>2.操作方式：触摸屏。</w:t>
            </w:r>
          </w:p>
          <w:p>
            <w:pPr>
              <w:pStyle w:val="null3"/>
              <w:jc w:val="left"/>
            </w:pPr>
            <w:r>
              <w:rPr>
                <w:rFonts w:ascii="仿宋_GB2312" w:hAnsi="仿宋_GB2312" w:cs="仿宋_GB2312" w:eastAsia="仿宋_GB2312"/>
                <w:sz w:val="21"/>
              </w:rPr>
              <w:t>★3. 探头：2.5MHz，扇扫角度≥120°。</w:t>
            </w:r>
          </w:p>
          <w:p>
            <w:pPr>
              <w:pStyle w:val="null3"/>
              <w:jc w:val="left"/>
            </w:pPr>
            <w:r>
              <w:rPr>
                <w:rFonts w:ascii="仿宋_GB2312" w:hAnsi="仿宋_GB2312" w:cs="仿宋_GB2312" w:eastAsia="仿宋_GB2312"/>
                <w:sz w:val="21"/>
              </w:rPr>
              <w:t>★4. 容积测量范围：0-999mL；①容积＜100mL时，精度±15mL；②100mL-999mL时，精度≤±15%；最小显示精度：≤1mL。</w:t>
            </w:r>
          </w:p>
          <w:p>
            <w:pPr>
              <w:pStyle w:val="null3"/>
              <w:jc w:val="left"/>
            </w:pPr>
            <w:r>
              <w:rPr>
                <w:rFonts w:ascii="仿宋_GB2312" w:hAnsi="仿宋_GB2312" w:cs="仿宋_GB2312" w:eastAsia="仿宋_GB2312"/>
                <w:sz w:val="21"/>
              </w:rPr>
              <w:t>★5. 测量深度：≥150mm；测量精度≤7.5%。</w:t>
            </w:r>
          </w:p>
          <w:p>
            <w:pPr>
              <w:pStyle w:val="null3"/>
              <w:jc w:val="left"/>
            </w:pPr>
            <w:r>
              <w:rPr>
                <w:rFonts w:ascii="仿宋_GB2312" w:hAnsi="仿宋_GB2312" w:cs="仿宋_GB2312" w:eastAsia="仿宋_GB2312"/>
                <w:sz w:val="21"/>
              </w:rPr>
              <w:t>6.支持男性、女性无子宫模式、儿童等模式。</w:t>
            </w:r>
          </w:p>
          <w:p>
            <w:pPr>
              <w:pStyle w:val="null3"/>
              <w:jc w:val="left"/>
            </w:pPr>
            <w:r>
              <w:rPr>
                <w:rFonts w:ascii="仿宋_GB2312" w:hAnsi="仿宋_GB2312" w:cs="仿宋_GB2312" w:eastAsia="仿宋_GB2312"/>
                <w:sz w:val="21"/>
              </w:rPr>
              <w:t>7. 膀胱定位方式：预扫描定位、投影定位。</w:t>
            </w:r>
          </w:p>
          <w:p>
            <w:pPr>
              <w:pStyle w:val="null3"/>
              <w:jc w:val="left"/>
            </w:pPr>
            <w:r>
              <w:rPr>
                <w:rFonts w:ascii="仿宋_GB2312" w:hAnsi="仿宋_GB2312" w:cs="仿宋_GB2312" w:eastAsia="仿宋_GB2312"/>
                <w:sz w:val="21"/>
              </w:rPr>
              <w:t>★8. 切面建模数量：≥12 面。</w:t>
            </w:r>
          </w:p>
          <w:p>
            <w:pPr>
              <w:pStyle w:val="null3"/>
              <w:jc w:val="left"/>
            </w:pPr>
            <w:r>
              <w:rPr>
                <w:rFonts w:ascii="仿宋_GB2312" w:hAnsi="仿宋_GB2312" w:cs="仿宋_GB2312" w:eastAsia="仿宋_GB2312"/>
                <w:sz w:val="21"/>
              </w:rPr>
              <w:t>9.显示模式：实时图像、投影图像。</w:t>
            </w:r>
          </w:p>
          <w:p>
            <w:pPr>
              <w:pStyle w:val="null3"/>
              <w:jc w:val="left"/>
            </w:pPr>
            <w:r>
              <w:rPr>
                <w:rFonts w:ascii="仿宋_GB2312" w:hAnsi="仿宋_GB2312" w:cs="仿宋_GB2312" w:eastAsia="仿宋_GB2312"/>
                <w:sz w:val="21"/>
              </w:rPr>
              <w:t>★10. 显示屏尺寸：≥8英寸，像素≥800*600。</w:t>
            </w:r>
          </w:p>
          <w:p>
            <w:pPr>
              <w:pStyle w:val="null3"/>
              <w:jc w:val="left"/>
            </w:pPr>
            <w:r>
              <w:rPr>
                <w:rFonts w:ascii="仿宋_GB2312" w:hAnsi="仿宋_GB2312" w:cs="仿宋_GB2312" w:eastAsia="仿宋_GB2312"/>
                <w:sz w:val="21"/>
              </w:rPr>
              <w:t>11.支持患者信息输入、图像选择、手动标注等。</w:t>
            </w:r>
          </w:p>
          <w:p>
            <w:pPr>
              <w:pStyle w:val="null3"/>
              <w:jc w:val="left"/>
            </w:pPr>
            <w:r>
              <w:rPr>
                <w:rFonts w:ascii="仿宋_GB2312" w:hAnsi="仿宋_GB2312" w:cs="仿宋_GB2312" w:eastAsia="仿宋_GB2312"/>
                <w:sz w:val="21"/>
              </w:rPr>
              <w:t>12.存储：支持USB存储，存储容量≥1000例，并可同步患者信息至工作站。</w:t>
            </w:r>
          </w:p>
          <w:p>
            <w:pPr>
              <w:pStyle w:val="null3"/>
              <w:jc w:val="left"/>
            </w:pPr>
            <w:r>
              <w:rPr>
                <w:rFonts w:ascii="仿宋_GB2312" w:hAnsi="仿宋_GB2312" w:cs="仿宋_GB2312" w:eastAsia="仿宋_GB2312"/>
                <w:sz w:val="21"/>
              </w:rPr>
              <w:t>13.报告输出：内置热敏输出设备，支持电子病例输出。</w:t>
            </w:r>
          </w:p>
          <w:p>
            <w:pPr>
              <w:pStyle w:val="null3"/>
              <w:jc w:val="left"/>
            </w:pPr>
            <w:r>
              <w:rPr>
                <w:rFonts w:ascii="仿宋_GB2312" w:hAnsi="仿宋_GB2312" w:cs="仿宋_GB2312" w:eastAsia="仿宋_GB2312"/>
                <w:sz w:val="21"/>
              </w:rPr>
              <w:t>二、单台配置要求：</w:t>
            </w:r>
          </w:p>
          <w:p>
            <w:pPr>
              <w:pStyle w:val="null3"/>
              <w:jc w:val="left"/>
            </w:pPr>
            <w:r>
              <w:rPr>
                <w:rFonts w:ascii="仿宋_GB2312" w:hAnsi="仿宋_GB2312" w:cs="仿宋_GB2312" w:eastAsia="仿宋_GB2312"/>
                <w:sz w:val="21"/>
              </w:rPr>
              <w:t>主机：1台、探头1个、电池：1块、充电器1个、工作站1套、电源线：1套、专用台车：1辆、手提箱：1个。</w:t>
            </w:r>
          </w:p>
          <w:p>
            <w:pPr>
              <w:pStyle w:val="null3"/>
            </w:pPr>
            <w:r>
              <w:rPr>
                <w:rFonts w:ascii="仿宋_GB2312" w:hAnsi="仿宋_GB2312" w:cs="仿宋_GB2312" w:eastAsia="仿宋_GB2312"/>
                <w:sz w:val="21"/>
                <w:b/>
              </w:rPr>
              <w:t>备注：技术参数所有项不允许负偏离，供应商提供的产品须完全满足所有参数要求，其中★标项须提供证明材料，证明材料包括但不限于产品的彩页、产品的功能截图、产品的第三方检测报告等其他证明材料。如参数负偏离或未提供★标项证明材料，按无效文件处理。</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标的名称：男性功能检测仪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男性功能检测仪：1台，单价限价13万元</w:t>
            </w:r>
          </w:p>
          <w:p>
            <w:pPr>
              <w:pStyle w:val="null3"/>
              <w:jc w:val="left"/>
            </w:pPr>
            <w:r>
              <w:rPr>
                <w:rFonts w:ascii="仿宋_GB2312" w:hAnsi="仿宋_GB2312" w:cs="仿宋_GB2312" w:eastAsia="仿宋_GB2312"/>
                <w:sz w:val="21"/>
              </w:rPr>
              <w:t>一、技术参数</w:t>
            </w:r>
          </w:p>
          <w:p>
            <w:pPr>
              <w:pStyle w:val="null3"/>
              <w:jc w:val="left"/>
            </w:pPr>
            <w:r>
              <w:rPr>
                <w:rFonts w:ascii="仿宋_GB2312" w:hAnsi="仿宋_GB2312" w:cs="仿宋_GB2312" w:eastAsia="仿宋_GB2312"/>
                <w:sz w:val="21"/>
              </w:rPr>
              <w:t>★1.适用范围：适用于心理性功能障碍临床诊断、血管性功能障碍等器质性性功能障碍的临床诊断</w:t>
            </w:r>
          </w:p>
          <w:p>
            <w:pPr>
              <w:pStyle w:val="null3"/>
              <w:jc w:val="left"/>
            </w:pPr>
            <w:r>
              <w:rPr>
                <w:rFonts w:ascii="仿宋_GB2312" w:hAnsi="仿宋_GB2312" w:cs="仿宋_GB2312" w:eastAsia="仿宋_GB2312"/>
                <w:sz w:val="21"/>
              </w:rPr>
              <w:t>二、血流多普勒测量：</w:t>
            </w:r>
          </w:p>
          <w:p>
            <w:pPr>
              <w:pStyle w:val="null3"/>
              <w:jc w:val="left"/>
            </w:pPr>
            <w:r>
              <w:rPr>
                <w:rFonts w:ascii="仿宋_GB2312" w:hAnsi="仿宋_GB2312" w:cs="仿宋_GB2312" w:eastAsia="仿宋_GB2312"/>
                <w:sz w:val="21"/>
              </w:rPr>
              <w:t>★2.1探头工作频率：8-8.3 MHz，误差：≤±20%;（提供厂家产品检测报告）</w:t>
            </w:r>
          </w:p>
          <w:p>
            <w:pPr>
              <w:pStyle w:val="null3"/>
              <w:jc w:val="left"/>
            </w:pPr>
            <w:r>
              <w:rPr>
                <w:rFonts w:ascii="仿宋_GB2312" w:hAnsi="仿宋_GB2312" w:cs="仿宋_GB2312" w:eastAsia="仿宋_GB2312"/>
                <w:sz w:val="21"/>
              </w:rPr>
              <w:t>★2.2血流多普勒血流速度响应范围：10cm/s-80cm/s。</w:t>
            </w:r>
          </w:p>
          <w:p>
            <w:pPr>
              <w:pStyle w:val="null3"/>
              <w:jc w:val="left"/>
            </w:pPr>
            <w:r>
              <w:rPr>
                <w:rFonts w:ascii="仿宋_GB2312" w:hAnsi="仿宋_GB2312" w:cs="仿宋_GB2312" w:eastAsia="仿宋_GB2312"/>
                <w:sz w:val="21"/>
              </w:rPr>
              <w:t>★2.3探测深度≥30mm;</w:t>
            </w:r>
          </w:p>
          <w:p>
            <w:pPr>
              <w:pStyle w:val="null3"/>
              <w:jc w:val="left"/>
            </w:pPr>
            <w:r>
              <w:rPr>
                <w:rFonts w:ascii="仿宋_GB2312" w:hAnsi="仿宋_GB2312" w:cs="仿宋_GB2312" w:eastAsia="仿宋_GB2312"/>
                <w:sz w:val="21"/>
              </w:rPr>
              <w:t>2.4具有多普勒频移模式和血流速度模式两种输出；</w:t>
            </w:r>
          </w:p>
          <w:p>
            <w:pPr>
              <w:pStyle w:val="null3"/>
              <w:jc w:val="left"/>
            </w:pPr>
            <w:r>
              <w:rPr>
                <w:rFonts w:ascii="仿宋_GB2312" w:hAnsi="仿宋_GB2312" w:cs="仿宋_GB2312" w:eastAsia="仿宋_GB2312"/>
                <w:sz w:val="21"/>
              </w:rPr>
              <w:t>2.5多普勒为连续波（CW）；</w:t>
            </w:r>
          </w:p>
          <w:p>
            <w:pPr>
              <w:pStyle w:val="null3"/>
              <w:jc w:val="left"/>
            </w:pPr>
            <w:r>
              <w:rPr>
                <w:rFonts w:ascii="仿宋_GB2312" w:hAnsi="仿宋_GB2312" w:cs="仿宋_GB2312" w:eastAsia="仿宋_GB2312"/>
                <w:sz w:val="21"/>
              </w:rPr>
              <w:t>三、性心理测评与诊断:</w:t>
            </w:r>
          </w:p>
          <w:p>
            <w:pPr>
              <w:pStyle w:val="null3"/>
              <w:jc w:val="left"/>
            </w:pPr>
            <w:r>
              <w:rPr>
                <w:rFonts w:ascii="仿宋_GB2312" w:hAnsi="仿宋_GB2312" w:cs="仿宋_GB2312" w:eastAsia="仿宋_GB2312"/>
                <w:sz w:val="21"/>
              </w:rPr>
              <w:t>★3.1 具备国际通用的性心理问卷，评估性功能障碍的程度及病因。</w:t>
            </w:r>
          </w:p>
          <w:p>
            <w:pPr>
              <w:pStyle w:val="null3"/>
              <w:jc w:val="left"/>
            </w:pPr>
            <w:r>
              <w:rPr>
                <w:rFonts w:ascii="仿宋_GB2312" w:hAnsi="仿宋_GB2312" w:cs="仿宋_GB2312" w:eastAsia="仿宋_GB2312"/>
                <w:sz w:val="21"/>
              </w:rPr>
              <w:t>四、夜间阴茎勃起（NPT）记录 ：</w:t>
            </w:r>
          </w:p>
          <w:p>
            <w:pPr>
              <w:pStyle w:val="null3"/>
              <w:jc w:val="left"/>
            </w:pPr>
            <w:r>
              <w:rPr>
                <w:rFonts w:ascii="仿宋_GB2312" w:hAnsi="仿宋_GB2312" w:cs="仿宋_GB2312" w:eastAsia="仿宋_GB2312"/>
                <w:sz w:val="21"/>
              </w:rPr>
              <w:t>★4.1夜间采集模式时长≥8小时。</w:t>
            </w:r>
          </w:p>
          <w:p>
            <w:pPr>
              <w:pStyle w:val="null3"/>
              <w:jc w:val="left"/>
            </w:pPr>
            <w:r>
              <w:rPr>
                <w:rFonts w:ascii="仿宋_GB2312" w:hAnsi="仿宋_GB2312" w:cs="仿宋_GB2312" w:eastAsia="仿宋_GB2312"/>
                <w:sz w:val="21"/>
              </w:rPr>
              <w:t>4.2时刻记录可显示年、月、日、时、分、秒。</w:t>
            </w:r>
          </w:p>
          <w:p>
            <w:pPr>
              <w:pStyle w:val="null3"/>
              <w:jc w:val="left"/>
            </w:pPr>
            <w:r>
              <w:rPr>
                <w:rFonts w:ascii="仿宋_GB2312" w:hAnsi="仿宋_GB2312" w:cs="仿宋_GB2312" w:eastAsia="仿宋_GB2312"/>
                <w:sz w:val="21"/>
              </w:rPr>
              <w:t>4.3 电阻式传感器电阻值的变化量△R≥100kΩ</w:t>
            </w:r>
          </w:p>
          <w:p>
            <w:pPr>
              <w:pStyle w:val="null3"/>
              <w:jc w:val="left"/>
            </w:pPr>
            <w:r>
              <w:rPr>
                <w:rFonts w:ascii="仿宋_GB2312" w:hAnsi="仿宋_GB2312" w:cs="仿宋_GB2312" w:eastAsia="仿宋_GB2312"/>
                <w:sz w:val="21"/>
              </w:rPr>
              <w:t>4.4 电阻式传感器周长的变化量△L≥20mm</w:t>
            </w:r>
          </w:p>
          <w:p>
            <w:pPr>
              <w:pStyle w:val="null3"/>
              <w:jc w:val="left"/>
            </w:pPr>
            <w:r>
              <w:rPr>
                <w:rFonts w:ascii="仿宋_GB2312" w:hAnsi="仿宋_GB2312" w:cs="仿宋_GB2312" w:eastAsia="仿宋_GB2312"/>
                <w:sz w:val="21"/>
              </w:rPr>
              <w:t>4.5具备自动参数生成功能，可显示勃起次数，最大勃起强度，最大勃起强度时间，血容量积分比，平均勃起时间和最大勃起时间等数据。</w:t>
            </w:r>
          </w:p>
          <w:p>
            <w:pPr>
              <w:pStyle w:val="null3"/>
              <w:jc w:val="left"/>
            </w:pPr>
            <w:r>
              <w:rPr>
                <w:rFonts w:ascii="仿宋_GB2312" w:hAnsi="仿宋_GB2312" w:cs="仿宋_GB2312" w:eastAsia="仿宋_GB2312"/>
                <w:sz w:val="21"/>
              </w:rPr>
              <w:t>4.6数据存储方式：由夜间阴茎勃起记录仪存储，输出由电脑主机通讯调用；</w:t>
            </w:r>
          </w:p>
          <w:p>
            <w:pPr>
              <w:pStyle w:val="null3"/>
              <w:jc w:val="left"/>
            </w:pPr>
            <w:r>
              <w:rPr>
                <w:rFonts w:ascii="仿宋_GB2312" w:hAnsi="仿宋_GB2312" w:cs="仿宋_GB2312" w:eastAsia="仿宋_GB2312"/>
                <w:sz w:val="21"/>
              </w:rPr>
              <w:t>4.7数据通讯到电脑主机后：记录显示并打印报告；</w:t>
            </w:r>
          </w:p>
          <w:p>
            <w:pPr>
              <w:pStyle w:val="null3"/>
              <w:jc w:val="left"/>
            </w:pPr>
            <w:r>
              <w:rPr>
                <w:rFonts w:ascii="仿宋_GB2312" w:hAnsi="仿宋_GB2312" w:cs="仿宋_GB2312" w:eastAsia="仿宋_GB2312"/>
                <w:sz w:val="21"/>
              </w:rPr>
              <w:t>二、单台配置要求：</w:t>
            </w:r>
          </w:p>
          <w:p>
            <w:pPr>
              <w:pStyle w:val="null3"/>
              <w:jc w:val="left"/>
            </w:pPr>
            <w:r>
              <w:rPr>
                <w:rFonts w:ascii="仿宋_GB2312" w:hAnsi="仿宋_GB2312" w:cs="仿宋_GB2312" w:eastAsia="仿宋_GB2312"/>
                <w:sz w:val="21"/>
              </w:rPr>
              <w:t>工作台（含分析软件系统）1台、主机1台、多普勒探头2个、耦合剂1瓶、NPT记录盒3套（含检查耗材10套）、充电器2个、激光打印机1台。</w:t>
            </w:r>
          </w:p>
          <w:p>
            <w:pPr>
              <w:pStyle w:val="null3"/>
              <w:jc w:val="left"/>
            </w:pPr>
            <w:r>
              <w:rPr>
                <w:rFonts w:ascii="仿宋_GB2312" w:hAnsi="仿宋_GB2312" w:cs="仿宋_GB2312" w:eastAsia="仿宋_GB2312"/>
                <w:sz w:val="21"/>
              </w:rPr>
              <w:t>三、其他要求：</w:t>
            </w:r>
          </w:p>
          <w:p>
            <w:pPr>
              <w:pStyle w:val="null3"/>
              <w:jc w:val="left"/>
            </w:pPr>
            <w:r>
              <w:rPr>
                <w:rFonts w:ascii="仿宋_GB2312" w:hAnsi="仿宋_GB2312" w:cs="仿宋_GB2312" w:eastAsia="仿宋_GB2312"/>
                <w:sz w:val="21"/>
              </w:rPr>
              <w:t>★耗材报价须提供全国最低价承诺函。</w:t>
            </w:r>
          </w:p>
          <w:p>
            <w:pPr>
              <w:pStyle w:val="null3"/>
            </w:pPr>
            <w:r>
              <w:rPr>
                <w:rFonts w:ascii="仿宋_GB2312" w:hAnsi="仿宋_GB2312" w:cs="仿宋_GB2312" w:eastAsia="仿宋_GB2312"/>
                <w:sz w:val="21"/>
                <w:b/>
              </w:rPr>
              <w:t>备注：技术参数所有项不允许负偏离，供应商提供的产品须完全满足所有参数要求，其中★标项须提供证明材料，证明材料包括但不限于产品的彩页、产品的功能截图、产品的第三方检测报告等其他证明材料。如参数负偏离或未提供★标项证明材料，按无效文件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合同签订后15个日历日完成货物的安装、调试并正常运行。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合同签订后15个日历日完成货物的安装、调试并正常运行。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合同签订后15个日历日完成货物的安装、调试并正常运行。</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设备安装调试、使用并经科室及院内外专家验收合格后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设备验收合格，且正常运行满1年后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设备验收合格，且正常运行满3年后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设备安装调试、使用并经科室及院内外专家验收合格后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设备验收合格，且正常运行满1年后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设备验收合格，且正常运行满3年后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设备安装调试、使用并经科室及院内外专家验收合格后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设备验收合格，且正常运行满1年后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设备验收合格，且正常运行满3年后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1、设备及设备附件到达甲方指定地点后，甲方根据合同要求，在乙方和甲方相关负责人双方同时在场的情况下，进行外观验收，确认产地、规格、型号和数量。 2、设备安装、调试并正常运行后，由乙方进行自检，合格后能够正常使用时通知甲方。 3、甲方确认乙方的自检内容后，组织乙方进行系统验收(必要时甲方可委托具有相关资质的第三方检测机构/技术专家对设备进行系统验收，需要国家法定检验部门进行检验或验收的由乙方负责联系) ，验收合格后，填写政府采购项目履约验收单(验收单) 作为对设备的最终认可。 4、乙方向甲方提交设备实施过程中的所有资料，以便甲方日后管理和维护。 5、验收依据： 5.1 谈判文件、响应文件、澄清表&lt;函&gt;； 5.2 本合同及附件文本； 5.3 合同签订时国家及行业现行的标准和技术规范。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1、设备及设备附件到达甲方指定地点后，甲方根据合同要求，在乙方和甲方相关负责人双方同时在场的情况下，进行外观验收，确认产地、规格、型号和数量。 2、设备安装、调试并正常运行后，由乙方进行自检，合格后能够正常使用时通知甲方。 3、甲方确认乙方的自检内容后，组织乙方进行系统验收(必要时甲方可委托具有相关资质的第三方检测机构/技术专家对设备进行系统验收，需要国家法定检验部门进行检验或验收的由乙方负责联系) ，验收合格后，填写政府采购项目履约验收单(验收单) 作为对设备的最终认可。 4、乙方向甲方提交设备实施过程中的所有资料，以便甲方日后管理和维护。 5、验收依据： 5.1 谈判文件、响应文件、澄清表&lt;函&gt;； 5.2 本合同及附件文本； 5.3 合同签订时国家及行业现行的标准和技术规范。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1、设备及设备附件到达甲方指定地点后，甲方根据合同要求，在乙方和甲方相关负责人双方同时在场的情况下，进行外观验收，确认产地、规格、型号和数量。 2、设备安装、调试并正常运行后，由乙方进行自检，合格后能够正常使用时通知甲方。 3、甲方确认乙方的自检内容后，组织乙方进行系统验收(必要时甲方可委托具有相关资质的第三方检测机构/技术专家对设备进行系统验收，需要国家法定检验部门进行检验或验收的由乙方负责联系) ，验收合格后，填写政府采购项目履约验收单(验收单) 作为对设备的最终认可。 4、乙方向甲方提交设备实施过程中的所有资料，以便甲方日后管理和维护。 5、验收依据： 5.1 谈判文件、响应文件、澄清表&lt;函&gt;； 5.2 本合同及附件文本； 5.3 合同签订时国家及行业现行的标准和技术规范。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1.整机原厂质保3年（包含软件升级，如供货商为代理商，装机验收时需向采购人提供乙方与厂家签订的针对所供货物的质保期保修协议）。 2.须提供所有零配件和耗材价格表，并保证设备生命周期内不得提高价格，如不提供视为设备运行的所有易耗品或耗材均为终身免费提供。若耗材为陕西省阳采产品，价格须小于等于阳采限价或集采价。 3.所提供设备为近半年之内出厂设备。 4.如需要对接采购人信息系统（如网络接口等），中标供应商承担相关费用。 5.质保期内，厂家每年对设备维护≥2次。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1.整机原厂质保3年（包含软件升级，如供货商为代理商，装机验收时需向采购人提供乙方与厂家签订的针对所供货物的质保期保修协议）。 2.须提供所有零配件和耗材价格表，并保证设备生命周期内不得提高价格，如不提供视为设备运行的所有易耗品或耗材均为终身免费提供。若耗材为陕西省阳采产品，价格须小于等于阳采限价或集采价。 3.所提供设备为近半年之内出厂设备。 4.如需要对接采购人信息系统（如网络接口等），中标供应商承担相关费用。 5.质保期内，厂家每年对设备维护≥2次。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1.整机原厂质保3年（包含软件升级，如供货商为代理商，装机验收时需向采购人提供乙方与厂家签订的针对所供货物的质保期保修协议）。 2.须提供所有零配件和耗材价格表，并保证设备生命周期内不得提高价格，如不提供视为设备运行的所有易耗品或耗材均为终身免费提供。若耗材为陕西省阳采产品，价格须小于等于阳采限价或集采价。 3.所提供设备为近半年之内出厂设备。 4.如需要对接采购人信息系统（如网络接口等），中标供应商承担相关费用。 5.质保期内，厂家每年对设备维护≥2次。</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乙方未按合同要求提供货物，质量不能满足技术要求的，甲方有权单方面解除合同（合同自书面解除通知到达乙方之日起解除），乙方赔偿甲方解除合同的全部损失（包括但不限于重新采购产生的费用及其它由此造成的甲方对第三方的违约损失）。同时按《政府采购法》有关处罚条款报监管机构进行相应的处罚。 （3）乙方交货期每推迟一天，扣除合同最高执行总价的3‰，累计超过10天的，甲方有权单方面解除合同（合同自书面解除通知到达乙方之日起解除），供货商应赔偿解除合同给甲方造成的全部损失（包括但不限于重新采购产生的费用、合同未履行导致货物不能按规划交付使用可能产生的租赁费用），同时还应按合同最高执行总价的30%支付违约金，若违约金不足以弥补甲方损失的，由乙方另行支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乙方未按合同要求提供货物，质量不能满足技术要求的，甲方有权单方面解除合同（合同自书面解除通知到达乙方之日起解除），乙方赔偿甲方解除合同的全部损失（包括但不限于重新采购产生的费用及其它由此造成的甲方对第三方的违约损失）。同时按《政府采购法》有关处罚条款报监管机构进行相应的处罚。 （3）乙方交货期每推迟一天，扣除合同最高执行总价的3‰，累计超过10天的，甲方有权单方面解除合同（合同自书面解除通知到达乙方之日起解除），供货商应赔偿解除合同给甲方造成的全部损失（包括但不限于重新采购产生的费用、合同未履行导致货物不能按规划交付使用可能产生的租赁费用），同时还应按合同最高执行总价的30%支付违约金，若违约金不足以弥补甲方损失的，由乙方另行支付。</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（1）按《中华人民共和国民法典》中的相关条款执行。 （2）乙方未按合同要求提供货物，质量不能满足技术要求的，甲方有权单方面解除合同（合同自书面解除通知到达乙方之日起解除），乙方赔偿甲方解除合同的全部损失（包括但不限于重新采购产生的费用及其它由此造成的甲方对第三方的违约损失）。同时按《政府采购法》有关处罚条款报监管机构进行相应的处罚。 （3）乙方交货期每推迟一天，扣除合同最高执行总价的3‰，累计超过10天的，甲方有权单方面解除合同（合同自书面解除通知到达乙方之日起解除），供货商应赔偿解除合同给甲方造成的全部损失（包括但不限于重新采购产生的费用、合同未履行导致货物不能按规划交付使用可能产生的租赁费用），同时还应按合同最高执行总价的30%支付违约金，若违约金不足以弥补甲方损失的，由乙方另行支付。</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1.质量保证： （1）供应商须保证所提供产品符合国家有关规定。供应商须保证所提供产品具有合法的使用权，本项目采购的产品，如在本项目范围内使用过程中出现使用权纠纷，应由供应商负责，采购人不承担责任； （2）供应商必须保证解决项目所涉及的技术问题，如因技术原因无法满足采购人需求，由此产生的风险由供应商承担。 2.售后要求： 所提供的技术服务为7×24小时维护服务，包括邮件、电话、远程维护、现场服务等方式。必须保证1小时之内响应、4小时内派工程师到达现场。 3.本项目所属行业为：工业。（按照《工信部 国家统计局 发改委 财政部 工信部联企业》中小企业划型标准（〔2011〕300号）规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4.根据财政部《关于推动解决政府采购异常低价问题的通知》财库〔2026〕2号，供应商在最终报价提交后属于通知中所列价格情形，谈判小组将启动异常低价投标（响应）审查程序。 5.成交供应商在领取成交通知书时须提供跟开标时上传的电子响应文件一致的纸质版响应文件一正二副用于备案。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1.质量保证： （1）供应商须保证所提供产品符合国家有关规定。供应商须保证所提供产品具有合法的使用权，本项目采购的产品，如在本项目范围内使用过程中出现使用权纠纷，应由供应商负责，采购人不承担责任； （2）供应商必须保证解决项目所涉及的技术问题，如因技术原因无法满足采购人需求，由此产生的风险由供应商承担。 2.售后要求： 所提供的技术服务为7×24小时维护服务，包括邮件、电话、远程维护、现场服务等方式。必须保证1小时之内响应、4小时内派工程师到达现场。 3.本项目所属行业为：工业。（按照《工信部 国家统计局 发改委 财政部 工信部联企业》中小企业划型标准（〔2011〕300号）规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4.根据财政部《关于推动解决政府采购异常低价问题的通知》财库〔2026〕2号，供应商在最终报价提交后属于通知中所列价格情形，谈判小组将启动异常低价投标（响应）审查程序。 5.成交供应商在领取成交通知书时须提供跟开标时上传的电子响应文件一致的纸质版响应文件一正二副用于备案。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1.质量保证： （1）供应商须保证所提供产品符合国家有关规定。供应商须保证所提供产品具有合法的使用权，本项目采购的产品，如在本项目范围内使用过程中出现使用权纠纷，应由供应商负责，采购人不承担责任； （2）供应商必须保证解决项目所涉及的技术问题，如因技术原因无法满足采购人需求，由此产生的风险由供应商承担。 2.售后要求： 所提供的技术服务为7×24小时维护服务，包括邮件、电话、远程维护、现场服务等方式。必须保证1小时之内响应、4小时内派工程师到达现场。 3.本项目所属行业为：工业。（按照《工信部 国家统计局 发改委 财政部 工信部联企业》中小企业划型标准（〔2011〕300号）规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4.根据财政部《关于推动解决政府采购异常低价问题的通知》财库〔2026〕2号，供应商在最终报价提交后属于通知中所列价格情形，谈判小组将启动异常低价投标（响应）审查程序。 5.成交供应商在领取成交通知书时须提供跟开标时上传的电子响应文件一致的纸质版响应文件一正二副用于备案。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法定代表人或被授权人身份证明</w:t>
            </w:r>
          </w:p>
        </w:tc>
        <w:tc>
          <w:tcPr>
            <w:tcW w:type="dxa" w:w="3322"/>
          </w:tcPr>
          <w:p>
            <w:pPr>
              <w:pStyle w:val="null3"/>
            </w:pPr>
            <w:r>
              <w:rPr>
                <w:rFonts w:ascii="仿宋_GB2312" w:hAnsi="仿宋_GB2312" w:cs="仿宋_GB2312" w:eastAsia="仿宋_GB2312"/>
              </w:rPr>
              <w:t>法定代表人直接谈判须提交法定代表人证明书，法定代表人授权代表参加谈判的，须出具法定代表人证明书及授权书、授权本单位的证明（提供近三个月的社会保障资金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供应商身份证明.docx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须提供2024年度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生产厂家直接参加投标的须提供《医疗器械生产许可证》；代理商参加投标的须提供《医疗器械经营许可证》（或备案凭证）及所投设备生产厂家的《医疗器械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产品资质</w:t>
            </w:r>
          </w:p>
        </w:tc>
        <w:tc>
          <w:tcPr>
            <w:tcW w:type="dxa" w:w="3322"/>
          </w:tcPr>
          <w:p>
            <w:pPr>
              <w:pStyle w:val="null3"/>
            </w:pPr>
            <w:r>
              <w:rPr>
                <w:rFonts w:ascii="仿宋_GB2312" w:hAnsi="仿宋_GB2312" w:cs="仿宋_GB2312" w:eastAsia="仿宋_GB2312"/>
              </w:rPr>
              <w:t>所投设备属于医疗器械分类的须提供《医疗器械产品注册证》或《医疗器械产品备案证》，供应商需在项目电子化交易系统中按要求上传相应证明文件并进行电子签章；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缴税证明</w:t>
            </w:r>
          </w:p>
        </w:tc>
        <w:tc>
          <w:tcPr>
            <w:tcW w:type="dxa" w:w="3322"/>
          </w:tcPr>
          <w:p>
            <w:pPr>
              <w:pStyle w:val="null3"/>
            </w:pPr>
            <w:r>
              <w:rPr>
                <w:rFonts w:ascii="仿宋_GB2312" w:hAnsi="仿宋_GB2312" w:cs="仿宋_GB2312" w:eastAsia="仿宋_GB2312"/>
              </w:rPr>
              <w:t>供应商须提供谈判截止时间前12个月内任意三个月的缴税证明，（注：依法免税或零申报的供应商须提供相关文件证明；若为新成立企业可提供相应月度的缴税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社会保险缴纳证明</w:t>
            </w:r>
          </w:p>
        </w:tc>
        <w:tc>
          <w:tcPr>
            <w:tcW w:type="dxa" w:w="3322"/>
          </w:tcPr>
          <w:p>
            <w:pPr>
              <w:pStyle w:val="null3"/>
            </w:pPr>
            <w:r>
              <w:rPr>
                <w:rFonts w:ascii="仿宋_GB2312" w:hAnsi="仿宋_GB2312" w:cs="仿宋_GB2312" w:eastAsia="仿宋_GB2312"/>
              </w:rPr>
              <w:t>供应商须提供谈判截止时间前12个月内任意三个月的的社会保险缴纳证明，（注：依法不需要缴纳社会保障资金的供应商应提供相关文件证明；若为新成立企业可提供相应月度的社会保险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中被列入失信被执行人、重大税收违法案件当事人名单，不得为中国政府采购网中政府采购严重违法失信行为记录名单中被财政部门禁止参加政府采购活动的供应商，供应商进入相关部门“黑名单”以及有行贿、串标等违法违规行为并经查实的不能参与项目的投标活动。对“黑名单”中供应商采取“一票否决”及“随时叫停”机制，在项目招标各环节一旦发现并查实有行贿等违法违规行为的，立即取消其相关资格且终止合同签订。（不强制要求供应商提供查询截图，以开标当日网上查询结果为评审依据）。</w:t>
            </w:r>
          </w:p>
        </w:tc>
        <w:tc>
          <w:tcPr>
            <w:tcW w:type="dxa" w:w="1661"/>
          </w:tcPr>
          <w:p>
            <w:pPr>
              <w:pStyle w:val="null3"/>
            </w:pPr>
            <w:r>
              <w:rPr>
                <w:rFonts w:ascii="仿宋_GB2312" w:hAnsi="仿宋_GB2312" w:cs="仿宋_GB2312" w:eastAsia="仿宋_GB2312"/>
              </w:rPr>
              <w:t>供应商特定资格证明文件.docx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法定代表人或被授权人身份证明</w:t>
            </w:r>
          </w:p>
        </w:tc>
        <w:tc>
          <w:tcPr>
            <w:tcW w:type="dxa" w:w="3322"/>
          </w:tcPr>
          <w:p>
            <w:pPr>
              <w:pStyle w:val="null3"/>
            </w:pPr>
            <w:r>
              <w:rPr>
                <w:rFonts w:ascii="仿宋_GB2312" w:hAnsi="仿宋_GB2312" w:cs="仿宋_GB2312" w:eastAsia="仿宋_GB2312"/>
              </w:rPr>
              <w:t>法定代表人直接谈判须提交法定代表人证明书，法定代表人授权代表参加谈判的，须出具法定代表人证明书及授权书、授权本单位的证明（提供近三个月的社会保障资金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供应商身份证明.docx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须提供2024年度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生产厂家直接参加投标的须提供《医疗器械生产许可证》；代理商参加投标的须提供《医疗器械经营许可证》（或备案凭证）及所投设备生产厂家的《医疗器械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产品资质</w:t>
            </w:r>
          </w:p>
        </w:tc>
        <w:tc>
          <w:tcPr>
            <w:tcW w:type="dxa" w:w="3322"/>
          </w:tcPr>
          <w:p>
            <w:pPr>
              <w:pStyle w:val="null3"/>
            </w:pPr>
            <w:r>
              <w:rPr>
                <w:rFonts w:ascii="仿宋_GB2312" w:hAnsi="仿宋_GB2312" w:cs="仿宋_GB2312" w:eastAsia="仿宋_GB2312"/>
              </w:rPr>
              <w:t>所投设备属于医疗器械分类的须提供《医疗器械产品注册证》或《医疗器械产品备案证》，供应商需在项目电子化交易系统中按要求上传相应证明文件并进行电子签章；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缴税证明</w:t>
            </w:r>
          </w:p>
        </w:tc>
        <w:tc>
          <w:tcPr>
            <w:tcW w:type="dxa" w:w="3322"/>
          </w:tcPr>
          <w:p>
            <w:pPr>
              <w:pStyle w:val="null3"/>
            </w:pPr>
            <w:r>
              <w:rPr>
                <w:rFonts w:ascii="仿宋_GB2312" w:hAnsi="仿宋_GB2312" w:cs="仿宋_GB2312" w:eastAsia="仿宋_GB2312"/>
              </w:rPr>
              <w:t>供应商须提供谈判截止时间前12个月内任意三个月的缴税证明，（注：依法免税或零申报的供应商须提供相关文件证明；若为新成立企业可提供相应月度的缴税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社会保险缴纳证明</w:t>
            </w:r>
          </w:p>
        </w:tc>
        <w:tc>
          <w:tcPr>
            <w:tcW w:type="dxa" w:w="3322"/>
          </w:tcPr>
          <w:p>
            <w:pPr>
              <w:pStyle w:val="null3"/>
            </w:pPr>
            <w:r>
              <w:rPr>
                <w:rFonts w:ascii="仿宋_GB2312" w:hAnsi="仿宋_GB2312" w:cs="仿宋_GB2312" w:eastAsia="仿宋_GB2312"/>
              </w:rPr>
              <w:t>供应商须提供谈判截止时间前12个月内任意三个月的的社会保险缴纳证明，（注：依法不需要缴纳社会保障资金的供应商应提供相关文件证明；若为新成立企业可提供相应月度的社会保险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中被列入失信被执行人、重大税收违法案件当事人名单，不得为中国政府采购网中政府采购严重违法失信行为记录名单中被财政部门禁止参加政府采购活动的供应商，供应商进入相关部门“黑名单”以及有行贿、串标等违法违规行为并经查实的不能参与项目的投标活动。对“黑名单”中供应商采取“一票否决”及“随时叫停”机制，在项目招标各环节一旦发现并查实有行贿等违法违规行为的，立即取消其相关资格且终止合同签订。（不强制要求供应商提供查询截图，以开标当日网上查询结果为评审依据）。</w:t>
            </w:r>
          </w:p>
        </w:tc>
        <w:tc>
          <w:tcPr>
            <w:tcW w:type="dxa" w:w="1661"/>
          </w:tcPr>
          <w:p>
            <w:pPr>
              <w:pStyle w:val="null3"/>
            </w:pPr>
            <w:r>
              <w:rPr>
                <w:rFonts w:ascii="仿宋_GB2312" w:hAnsi="仿宋_GB2312" w:cs="仿宋_GB2312" w:eastAsia="仿宋_GB2312"/>
              </w:rPr>
              <w:t>供应商特定资格证明文件.docx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法定代表人或被授权人身份证明</w:t>
            </w:r>
          </w:p>
        </w:tc>
        <w:tc>
          <w:tcPr>
            <w:tcW w:type="dxa" w:w="3322"/>
          </w:tcPr>
          <w:p>
            <w:pPr>
              <w:pStyle w:val="null3"/>
            </w:pPr>
            <w:r>
              <w:rPr>
                <w:rFonts w:ascii="仿宋_GB2312" w:hAnsi="仿宋_GB2312" w:cs="仿宋_GB2312" w:eastAsia="仿宋_GB2312"/>
              </w:rPr>
              <w:t>法定代表人直接谈判须提交法定代表人证明书，法定代表人授权代表参加谈判的，须出具法定代表人证明书及授权书、授权本单位的证明（提供近三个月的社会保障资金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供应商身份证明.docx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须提供2024年度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生产厂家直接参加投标的须提供《医疗器械生产许可证》；代理商参加投标的须提供《医疗器械经营许可证》（或备案凭证）及所投设备生产厂家的《医疗器械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产品资质</w:t>
            </w:r>
          </w:p>
        </w:tc>
        <w:tc>
          <w:tcPr>
            <w:tcW w:type="dxa" w:w="3322"/>
          </w:tcPr>
          <w:p>
            <w:pPr>
              <w:pStyle w:val="null3"/>
            </w:pPr>
            <w:r>
              <w:rPr>
                <w:rFonts w:ascii="仿宋_GB2312" w:hAnsi="仿宋_GB2312" w:cs="仿宋_GB2312" w:eastAsia="仿宋_GB2312"/>
              </w:rPr>
              <w:t>所投设备属于医疗器械分类的须提供《医疗器械产品注册证》或《医疗器械产品备案证》，供应商需在项目电子化交易系统中按要求上传相应证明文件并进行电子签章；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缴税证明</w:t>
            </w:r>
          </w:p>
        </w:tc>
        <w:tc>
          <w:tcPr>
            <w:tcW w:type="dxa" w:w="3322"/>
          </w:tcPr>
          <w:p>
            <w:pPr>
              <w:pStyle w:val="null3"/>
            </w:pPr>
            <w:r>
              <w:rPr>
                <w:rFonts w:ascii="仿宋_GB2312" w:hAnsi="仿宋_GB2312" w:cs="仿宋_GB2312" w:eastAsia="仿宋_GB2312"/>
              </w:rPr>
              <w:t>供应商须提供谈判截止时间前12个月内任意三个月的缴税证明，（注：依法免税或零申报的供应商须提供相关文件证明；若为新成立企业可提供相应月度的缴税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社会保险缴纳证明</w:t>
            </w:r>
          </w:p>
        </w:tc>
        <w:tc>
          <w:tcPr>
            <w:tcW w:type="dxa" w:w="3322"/>
          </w:tcPr>
          <w:p>
            <w:pPr>
              <w:pStyle w:val="null3"/>
            </w:pPr>
            <w:r>
              <w:rPr>
                <w:rFonts w:ascii="仿宋_GB2312" w:hAnsi="仿宋_GB2312" w:cs="仿宋_GB2312" w:eastAsia="仿宋_GB2312"/>
              </w:rPr>
              <w:t>供应商须提供谈判截止时间前12个月内任意三个月的的社会保险缴纳证明，（注：依法不需要缴纳社会保障资金的供应商应提供相关文件证明；若为新成立企业可提供相应月度的社会保险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中被列入失信被执行人、重大税收违法案件当事人名单，不得为中国政府采购网中政府采购严重违法失信行为记录名单中被财政部门禁止参加政府采购活动的供应商，供应商进入相关部门“黑名单”以及有行贿、串标等违法违规行为并经查实的不能参与项目的投标活动。对“黑名单”中供应商采取“一票否决”及“随时叫停”机制，在项目招标各环节一旦发现并查实有行贿等违法违规行为的，立即取消其相关资格且终止合同签订。（不强制要求供应商提供查询截图，以开标当日网上查询结果为评审依据）。</w:t>
            </w:r>
          </w:p>
        </w:tc>
        <w:tc>
          <w:tcPr>
            <w:tcW w:type="dxa" w:w="1661"/>
          </w:tcPr>
          <w:p>
            <w:pPr>
              <w:pStyle w:val="null3"/>
            </w:pPr>
            <w:r>
              <w:rPr>
                <w:rFonts w:ascii="仿宋_GB2312" w:hAnsi="仿宋_GB2312" w:cs="仿宋_GB2312" w:eastAsia="仿宋_GB2312"/>
              </w:rPr>
              <w:t>供应商特定资格证明文件.docx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设备分项报价表.docx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谈判响应文件中项目名称、项目编号与本项目一致，无遗漏；</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谈判响应文件签署、盖章及谈判有效期符合谈判文件要求</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谈判报价符合唯一性要求</w:t>
            </w:r>
          </w:p>
        </w:tc>
        <w:tc>
          <w:tcPr>
            <w:tcW w:type="dxa" w:w="3322"/>
          </w:tcPr>
          <w:p>
            <w:pPr>
              <w:pStyle w:val="null3"/>
            </w:pPr>
            <w:r>
              <w:rPr>
                <w:rFonts w:ascii="仿宋_GB2312" w:hAnsi="仿宋_GB2312" w:cs="仿宋_GB2312" w:eastAsia="仿宋_GB2312"/>
              </w:rPr>
              <w:t>谈判报价符合唯一性要求；谈判报价未超出采购预算或采购最高限价</w:t>
            </w:r>
          </w:p>
        </w:tc>
        <w:tc>
          <w:tcPr>
            <w:tcW w:type="dxa" w:w="1661"/>
          </w:tcPr>
          <w:p>
            <w:pPr>
              <w:pStyle w:val="null3"/>
            </w:pPr>
            <w:r>
              <w:rPr>
                <w:rFonts w:ascii="仿宋_GB2312" w:hAnsi="仿宋_GB2312" w:cs="仿宋_GB2312" w:eastAsia="仿宋_GB2312"/>
              </w:rPr>
              <w:t>设备分项报价表.docx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谈判内容与要求</w:t>
            </w:r>
          </w:p>
        </w:tc>
        <w:tc>
          <w:tcPr>
            <w:tcW w:type="dxa" w:w="3322"/>
          </w:tcPr>
          <w:p>
            <w:pPr>
              <w:pStyle w:val="null3"/>
            </w:pPr>
            <w:r>
              <w:rPr>
                <w:rFonts w:ascii="仿宋_GB2312" w:hAnsi="仿宋_GB2312" w:cs="仿宋_GB2312" w:eastAsia="仿宋_GB2312"/>
              </w:rPr>
              <w:t>谈判内容未出现漏项；数量与要求相符</w:t>
            </w:r>
          </w:p>
        </w:tc>
        <w:tc>
          <w:tcPr>
            <w:tcW w:type="dxa" w:w="1661"/>
          </w:tcPr>
          <w:p>
            <w:pPr>
              <w:pStyle w:val="null3"/>
            </w:pPr>
            <w:r>
              <w:rPr>
                <w:rFonts w:ascii="仿宋_GB2312" w:hAnsi="仿宋_GB2312" w:cs="仿宋_GB2312" w:eastAsia="仿宋_GB2312"/>
              </w:rPr>
              <w:t>服务响应偏差表.docx 商务响应表.docx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技术要求中带★标项为实质性要求，供应商必须响应并满足要求的证明材料； 未带★标项的参数需求无负偏离，未造成产品档次降低或严重影响产品质量。 谈判文件要求的其他实质性要求，无偏离。</w:t>
            </w:r>
          </w:p>
        </w:tc>
        <w:tc>
          <w:tcPr>
            <w:tcW w:type="dxa" w:w="1661"/>
          </w:tcPr>
          <w:p>
            <w:pPr>
              <w:pStyle w:val="null3"/>
            </w:pPr>
            <w:r>
              <w:rPr>
                <w:rFonts w:ascii="仿宋_GB2312" w:hAnsi="仿宋_GB2312" w:cs="仿宋_GB2312" w:eastAsia="仿宋_GB2312"/>
              </w:rPr>
              <w:t>服务响应偏差表.docx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须完全响应竞争性谈判文件中的商务要求，无负偏离； 响应内容不得含有采购人不能接受的附加条件。</w:t>
            </w:r>
          </w:p>
        </w:tc>
        <w:tc>
          <w:tcPr>
            <w:tcW w:type="dxa" w:w="1661"/>
          </w:tcPr>
          <w:p>
            <w:pPr>
              <w:pStyle w:val="null3"/>
            </w:pPr>
            <w:r>
              <w:rPr>
                <w:rFonts w:ascii="仿宋_GB2312" w:hAnsi="仿宋_GB2312" w:cs="仿宋_GB2312" w:eastAsia="仿宋_GB2312"/>
              </w:rPr>
              <w:t>商务响应表.docx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“无效谈判”的情形及未实质性响应谈判文件的情况</w:t>
            </w:r>
          </w:p>
        </w:tc>
        <w:tc>
          <w:tcPr>
            <w:tcW w:type="dxa" w:w="3322"/>
          </w:tcPr>
          <w:p>
            <w:pPr>
              <w:pStyle w:val="null3"/>
            </w:pPr>
            <w:r>
              <w:rPr>
                <w:rFonts w:ascii="仿宋_GB2312" w:hAnsi="仿宋_GB2312" w:cs="仿宋_GB2312" w:eastAsia="仿宋_GB2312"/>
              </w:rPr>
              <w:t>没有出现法律法规或谈判文件明确规定的其他被视为“无效谈判”的情形及未实质性响应谈判文件的情况。</w:t>
            </w:r>
          </w:p>
        </w:tc>
        <w:tc>
          <w:tcPr>
            <w:tcW w:type="dxa" w:w="1661"/>
          </w:tcPr>
          <w:p>
            <w:pPr>
              <w:pStyle w:val="null3"/>
            </w:pPr>
            <w:r>
              <w:rPr>
                <w:rFonts w:ascii="仿宋_GB2312" w:hAnsi="仿宋_GB2312" w:cs="仿宋_GB2312" w:eastAsia="仿宋_GB2312"/>
              </w:rPr>
              <w:t>供应商需要加以说明的其他内容.docx 供应商承诺书.docx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设备分项报价表.docx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谈判响应文件中项目名称、项目编号与本项目一致，无遗漏；</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谈判响应文件签署、盖章及谈判有效期符合谈判文件要求</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谈判报价符合唯一性要求</w:t>
            </w:r>
          </w:p>
        </w:tc>
        <w:tc>
          <w:tcPr>
            <w:tcW w:type="dxa" w:w="3322"/>
          </w:tcPr>
          <w:p>
            <w:pPr>
              <w:pStyle w:val="null3"/>
            </w:pPr>
            <w:r>
              <w:rPr>
                <w:rFonts w:ascii="仿宋_GB2312" w:hAnsi="仿宋_GB2312" w:cs="仿宋_GB2312" w:eastAsia="仿宋_GB2312"/>
              </w:rPr>
              <w:t>谈判报价符合唯一性要求；谈判报价未超出采购预算或采购最高限价</w:t>
            </w:r>
          </w:p>
        </w:tc>
        <w:tc>
          <w:tcPr>
            <w:tcW w:type="dxa" w:w="1661"/>
          </w:tcPr>
          <w:p>
            <w:pPr>
              <w:pStyle w:val="null3"/>
            </w:pPr>
            <w:r>
              <w:rPr>
                <w:rFonts w:ascii="仿宋_GB2312" w:hAnsi="仿宋_GB2312" w:cs="仿宋_GB2312" w:eastAsia="仿宋_GB2312"/>
              </w:rPr>
              <w:t>设备分项报价表.docx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谈判内容与要求</w:t>
            </w:r>
          </w:p>
        </w:tc>
        <w:tc>
          <w:tcPr>
            <w:tcW w:type="dxa" w:w="3322"/>
          </w:tcPr>
          <w:p>
            <w:pPr>
              <w:pStyle w:val="null3"/>
            </w:pPr>
            <w:r>
              <w:rPr>
                <w:rFonts w:ascii="仿宋_GB2312" w:hAnsi="仿宋_GB2312" w:cs="仿宋_GB2312" w:eastAsia="仿宋_GB2312"/>
              </w:rPr>
              <w:t>谈判内容未出现漏项；数量与要求相符</w:t>
            </w:r>
          </w:p>
        </w:tc>
        <w:tc>
          <w:tcPr>
            <w:tcW w:type="dxa" w:w="1661"/>
          </w:tcPr>
          <w:p>
            <w:pPr>
              <w:pStyle w:val="null3"/>
            </w:pPr>
            <w:r>
              <w:rPr>
                <w:rFonts w:ascii="仿宋_GB2312" w:hAnsi="仿宋_GB2312" w:cs="仿宋_GB2312" w:eastAsia="仿宋_GB2312"/>
              </w:rPr>
              <w:t>强制优先采购产品说明.docx 服务响应偏差表.docx 商务响应表.docx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技术要求中带★标项为实质性要求，供应商必须响应并满足要求的证明材料； 未带★标项的参数需求无负偏离，未造成产品档次降低或严重影响产品质量。 谈判文件要求的其他实质性要求，无偏离。</w:t>
            </w:r>
          </w:p>
        </w:tc>
        <w:tc>
          <w:tcPr>
            <w:tcW w:type="dxa" w:w="1661"/>
          </w:tcPr>
          <w:p>
            <w:pPr>
              <w:pStyle w:val="null3"/>
            </w:pPr>
            <w:r>
              <w:rPr>
                <w:rFonts w:ascii="仿宋_GB2312" w:hAnsi="仿宋_GB2312" w:cs="仿宋_GB2312" w:eastAsia="仿宋_GB2312"/>
              </w:rPr>
              <w:t>服务响应偏差表.docx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须完全响应竞争性谈判文件中的商务要求，无负偏离； 响应内容不得含有采购人不能接受的附加条件。</w:t>
            </w:r>
          </w:p>
        </w:tc>
        <w:tc>
          <w:tcPr>
            <w:tcW w:type="dxa" w:w="1661"/>
          </w:tcPr>
          <w:p>
            <w:pPr>
              <w:pStyle w:val="null3"/>
            </w:pPr>
            <w:r>
              <w:rPr>
                <w:rFonts w:ascii="仿宋_GB2312" w:hAnsi="仿宋_GB2312" w:cs="仿宋_GB2312" w:eastAsia="仿宋_GB2312"/>
              </w:rPr>
              <w:t>商务响应表.docx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“无效谈判”的情形及未实质性响应谈判文件的情况</w:t>
            </w:r>
          </w:p>
        </w:tc>
        <w:tc>
          <w:tcPr>
            <w:tcW w:type="dxa" w:w="3322"/>
          </w:tcPr>
          <w:p>
            <w:pPr>
              <w:pStyle w:val="null3"/>
            </w:pPr>
            <w:r>
              <w:rPr>
                <w:rFonts w:ascii="仿宋_GB2312" w:hAnsi="仿宋_GB2312" w:cs="仿宋_GB2312" w:eastAsia="仿宋_GB2312"/>
              </w:rPr>
              <w:t>没有出现法律法规或谈判文件明确规定的其他被视为“无效谈判”的情形及未实质性响应谈判文件的情况。</w:t>
            </w:r>
          </w:p>
        </w:tc>
        <w:tc>
          <w:tcPr>
            <w:tcW w:type="dxa" w:w="1661"/>
          </w:tcPr>
          <w:p>
            <w:pPr>
              <w:pStyle w:val="null3"/>
            </w:pPr>
            <w:r>
              <w:rPr>
                <w:rFonts w:ascii="仿宋_GB2312" w:hAnsi="仿宋_GB2312" w:cs="仿宋_GB2312" w:eastAsia="仿宋_GB2312"/>
              </w:rPr>
              <w:t>供应商需要加以说明的其他内容.docx 供应商承诺书.docx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谈判响应文件中项目名称、项目编号与本项目一致，无遗漏；</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谈判响应文件签署、盖章及谈判有效期符合谈判文件要求</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谈判报价符合唯一性要求</w:t>
            </w:r>
          </w:p>
        </w:tc>
        <w:tc>
          <w:tcPr>
            <w:tcW w:type="dxa" w:w="3322"/>
          </w:tcPr>
          <w:p>
            <w:pPr>
              <w:pStyle w:val="null3"/>
            </w:pPr>
            <w:r>
              <w:rPr>
                <w:rFonts w:ascii="仿宋_GB2312" w:hAnsi="仿宋_GB2312" w:cs="仿宋_GB2312" w:eastAsia="仿宋_GB2312"/>
              </w:rPr>
              <w:t>谈判报价符合唯一性要求；谈判报价未超出采购预算或采购最高限价</w:t>
            </w:r>
          </w:p>
        </w:tc>
        <w:tc>
          <w:tcPr>
            <w:tcW w:type="dxa" w:w="1661"/>
          </w:tcPr>
          <w:p>
            <w:pPr>
              <w:pStyle w:val="null3"/>
            </w:pPr>
            <w:r>
              <w:rPr>
                <w:rFonts w:ascii="仿宋_GB2312" w:hAnsi="仿宋_GB2312" w:cs="仿宋_GB2312" w:eastAsia="仿宋_GB2312"/>
              </w:rPr>
              <w:t>设备分项报价表.docx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谈判内容与要求</w:t>
            </w:r>
          </w:p>
        </w:tc>
        <w:tc>
          <w:tcPr>
            <w:tcW w:type="dxa" w:w="3322"/>
          </w:tcPr>
          <w:p>
            <w:pPr>
              <w:pStyle w:val="null3"/>
            </w:pPr>
            <w:r>
              <w:rPr>
                <w:rFonts w:ascii="仿宋_GB2312" w:hAnsi="仿宋_GB2312" w:cs="仿宋_GB2312" w:eastAsia="仿宋_GB2312"/>
              </w:rPr>
              <w:t>谈判内容未出现漏项；数量与要求相符</w:t>
            </w:r>
          </w:p>
        </w:tc>
        <w:tc>
          <w:tcPr>
            <w:tcW w:type="dxa" w:w="1661"/>
          </w:tcPr>
          <w:p>
            <w:pPr>
              <w:pStyle w:val="null3"/>
            </w:pPr>
            <w:r>
              <w:rPr>
                <w:rFonts w:ascii="仿宋_GB2312" w:hAnsi="仿宋_GB2312" w:cs="仿宋_GB2312" w:eastAsia="仿宋_GB2312"/>
              </w:rPr>
              <w:t>强制优先采购产品说明.docx 服务响应偏差表.docx 商务响应表.docx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技术要求中带★标项为实质性要求，供应商必须响应并满足要求的证明材料； 未带★标项的参数需求无负偏离，未造成产品档次降低或严重影响产品质量。 谈判文件要求的其他实质性要求，无偏离。</w:t>
            </w:r>
          </w:p>
        </w:tc>
        <w:tc>
          <w:tcPr>
            <w:tcW w:type="dxa" w:w="1661"/>
          </w:tcPr>
          <w:p>
            <w:pPr>
              <w:pStyle w:val="null3"/>
            </w:pPr>
            <w:r>
              <w:rPr>
                <w:rFonts w:ascii="仿宋_GB2312" w:hAnsi="仿宋_GB2312" w:cs="仿宋_GB2312" w:eastAsia="仿宋_GB2312"/>
              </w:rPr>
              <w:t>服务响应偏差表.docx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须完全响应竞争性谈判文件中的商务要求，无负偏离； 响应内容不得含有采购人不能接受的附加条件。</w:t>
            </w:r>
          </w:p>
        </w:tc>
        <w:tc>
          <w:tcPr>
            <w:tcW w:type="dxa" w:w="1661"/>
          </w:tcPr>
          <w:p>
            <w:pPr>
              <w:pStyle w:val="null3"/>
            </w:pPr>
            <w:r>
              <w:rPr>
                <w:rFonts w:ascii="仿宋_GB2312" w:hAnsi="仿宋_GB2312" w:cs="仿宋_GB2312" w:eastAsia="仿宋_GB2312"/>
              </w:rPr>
              <w:t>商务响应表.docx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“无效谈判”的情形及未实质性响应谈判文件的情况</w:t>
            </w:r>
          </w:p>
        </w:tc>
        <w:tc>
          <w:tcPr>
            <w:tcW w:type="dxa" w:w="3322"/>
          </w:tcPr>
          <w:p>
            <w:pPr>
              <w:pStyle w:val="null3"/>
            </w:pPr>
            <w:r>
              <w:rPr>
                <w:rFonts w:ascii="仿宋_GB2312" w:hAnsi="仿宋_GB2312" w:cs="仿宋_GB2312" w:eastAsia="仿宋_GB2312"/>
              </w:rPr>
              <w:t>没有出现法律法规或谈判文件明确规定的其他被视为“无效谈判”的情形及未实质性响应谈判文件的情况。</w:t>
            </w:r>
          </w:p>
        </w:tc>
        <w:tc>
          <w:tcPr>
            <w:tcW w:type="dxa" w:w="1661"/>
          </w:tcPr>
          <w:p>
            <w:pPr>
              <w:pStyle w:val="null3"/>
            </w:pPr>
            <w:r>
              <w:rPr>
                <w:rFonts w:ascii="仿宋_GB2312" w:hAnsi="仿宋_GB2312" w:cs="仿宋_GB2312" w:eastAsia="仿宋_GB2312"/>
              </w:rPr>
              <w:t>供应商需要加以说明的其他内容.docx 供应商承诺书.docx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设备分项报价表.docx 标的清单 报价表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设备分项报价表.docx 标的清单 报价表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设备分项报价表.docx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详见附件：设备分项报价表.docx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详见附件：供应商特定资格证明文件.docx</w:t>
      </w:r>
    </w:p>
    <w:p>
      <w:pPr>
        <w:pStyle w:val="null3"/>
        <w:ind w:firstLine="960"/>
      </w:pPr>
      <w:r>
        <w:rPr>
          <w:rFonts w:ascii="仿宋_GB2312" w:hAnsi="仿宋_GB2312" w:cs="仿宋_GB2312" w:eastAsia="仿宋_GB2312"/>
        </w:rPr>
        <w:t>详见附件：供应商身份证明.docx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详见附件：服务响应偏差表.docx</w:t>
      </w:r>
    </w:p>
    <w:p>
      <w:pPr>
        <w:pStyle w:val="null3"/>
        <w:ind w:firstLine="960"/>
      </w:pPr>
      <w:r>
        <w:rPr>
          <w:rFonts w:ascii="仿宋_GB2312" w:hAnsi="仿宋_GB2312" w:cs="仿宋_GB2312" w:eastAsia="仿宋_GB2312"/>
        </w:rPr>
        <w:t>详见附件：供应商需要加以说明的其他内容.docx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详见附件：设备分项报价表.docx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详见附件：供应商特定资格证明文件.docx</w:t>
      </w:r>
    </w:p>
    <w:p>
      <w:pPr>
        <w:pStyle w:val="null3"/>
        <w:ind w:firstLine="960"/>
      </w:pPr>
      <w:r>
        <w:rPr>
          <w:rFonts w:ascii="仿宋_GB2312" w:hAnsi="仿宋_GB2312" w:cs="仿宋_GB2312" w:eastAsia="仿宋_GB2312"/>
        </w:rPr>
        <w:t>详见附件：供应商身份证明.docx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详见附件：服务响应偏差表.docx</w:t>
      </w:r>
    </w:p>
    <w:p>
      <w:pPr>
        <w:pStyle w:val="null3"/>
        <w:ind w:firstLine="960"/>
      </w:pPr>
      <w:r>
        <w:rPr>
          <w:rFonts w:ascii="仿宋_GB2312" w:hAnsi="仿宋_GB2312" w:cs="仿宋_GB2312" w:eastAsia="仿宋_GB2312"/>
        </w:rPr>
        <w:t>详见附件：强制优先采购产品说明.docx</w:t>
      </w:r>
    </w:p>
    <w:p>
      <w:pPr>
        <w:pStyle w:val="null3"/>
        <w:ind w:firstLine="960"/>
      </w:pPr>
      <w:r>
        <w:rPr>
          <w:rFonts w:ascii="仿宋_GB2312" w:hAnsi="仿宋_GB2312" w:cs="仿宋_GB2312" w:eastAsia="仿宋_GB2312"/>
        </w:rPr>
        <w:t>详见附件：供应商需要加以说明的其他内容.docx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详见附件：设备分项报价表.docx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详见附件：供应商特定资格证明文件.docx</w:t>
      </w:r>
    </w:p>
    <w:p>
      <w:pPr>
        <w:pStyle w:val="null3"/>
        <w:ind w:firstLine="960"/>
      </w:pPr>
      <w:r>
        <w:rPr>
          <w:rFonts w:ascii="仿宋_GB2312" w:hAnsi="仿宋_GB2312" w:cs="仿宋_GB2312" w:eastAsia="仿宋_GB2312"/>
        </w:rPr>
        <w:t>详见附件：供应商身份证明.docx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详见附件：服务响应偏差表.docx</w:t>
      </w:r>
    </w:p>
    <w:p>
      <w:pPr>
        <w:pStyle w:val="null3"/>
        <w:ind w:firstLine="960"/>
      </w:pPr>
      <w:r>
        <w:rPr>
          <w:rFonts w:ascii="仿宋_GB2312" w:hAnsi="仿宋_GB2312" w:cs="仿宋_GB2312" w:eastAsia="仿宋_GB2312"/>
        </w:rPr>
        <w:t>详见附件：强制优先采购产品说明.docx</w:t>
      </w:r>
    </w:p>
    <w:p>
      <w:pPr>
        <w:pStyle w:val="null3"/>
        <w:ind w:firstLine="960"/>
      </w:pPr>
      <w:r>
        <w:rPr>
          <w:rFonts w:ascii="仿宋_GB2312" w:hAnsi="仿宋_GB2312" w:cs="仿宋_GB2312" w:eastAsia="仿宋_GB2312"/>
        </w:rPr>
        <w:t>详见附件：供应商需要加以说明的其他内容.docx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