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版本号：YWGL-ZC-2026-000820260402001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西安文理学院高新校区工程实训中心及体操馆消防整改项目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YWGL-ZC-2026-0008</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西安文理学院高新校区工程实训中心及体操馆消防整改项目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YWGL-ZC-2026-0008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西安文理学院高新校区工程实训中心及体操馆消防整改项目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西安文理学院高新校区工程实训中心及体操馆消防整改项目，包含金属面喷刷防火涂料等工作。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采购包1（西安文理学院高新校区工程实训中心及体操馆消防整改项目）：属于专门面向中小企业采购。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1、资质：提供具备建筑行政主管部门颁发的消防设施工程专业承包二级及以上资质证明，并具有合格有效的安全生产许可证。 供应商需在项目电子化交易系统中按要求上传相应证明文件并进行电子签章。</w:t>
      </w:r>
    </w:p>
    <w:p>
      <w:pPr>
        <w:pStyle w:val="null3"/>
      </w:pPr>
      <w:r>
        <w:rPr>
          <w:rFonts w:ascii="仿宋_GB2312" w:hAnsi="仿宋_GB2312" w:cs="仿宋_GB2312" w:eastAsia="仿宋_GB2312"/>
        </w:rPr>
        <w:t>2、项目经理：须具备机电工程专业二级及以上注册建造师执业证且在本单位注册证明，具备有效的安全生产考核合格证（建安B证），且未担任其他在建工程项目的项目经理。 供应商需在项目电子化交易系统中按要求上传相应证明文件并进行电子签章。</w:t>
      </w:r>
    </w:p>
    <w:p>
      <w:pPr>
        <w:pStyle w:val="null3"/>
      </w:pPr>
      <w:r>
        <w:rPr>
          <w:rFonts w:ascii="仿宋_GB2312" w:hAnsi="仿宋_GB2312" w:cs="仿宋_GB2312" w:eastAsia="仿宋_GB2312"/>
        </w:rPr>
        <w:t>3、备案：供应商基本信息及项目经理信息应在“陕西省建筑市场监管与诚信信息发布平台” 可查询。</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法定代表人或其授权委托书：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采购包1：642,688.61元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时，向陕西猷为项目管理有限公司交纳招标代理服务费。代理服务费参照国家计委2002年颁发的《招标代理服务收费管理暂行办法》(计价格〔2002〕1980号)的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踏勘时间：2026-04-13 09:00:00</w:t>
            </w:r>
          </w:p>
          <w:p>
            <w:pPr>
              <w:pStyle w:val="null3"/>
              <w:ind w:firstLine="975"/>
            </w:pPr>
            <w:r>
              <w:rPr>
                <w:rFonts w:ascii="仿宋_GB2312" w:hAnsi="仿宋_GB2312" w:cs="仿宋_GB2312" w:eastAsia="仿宋_GB2312"/>
              </w:rPr>
              <w:t>踏勘地点：陕西省西安市雁塔区科技六路1号（西安文理学院）南大门</w:t>
            </w:r>
          </w:p>
          <w:p>
            <w:pPr>
              <w:pStyle w:val="null3"/>
              <w:ind w:firstLine="975"/>
            </w:pPr>
            <w:r>
              <w:rPr>
                <w:rFonts w:ascii="仿宋_GB2312" w:hAnsi="仿宋_GB2312" w:cs="仿宋_GB2312" w:eastAsia="仿宋_GB2312"/>
              </w:rPr>
              <w:t>联系人：李老师、薛老师</w:t>
            </w:r>
          </w:p>
          <w:p>
            <w:pPr>
              <w:pStyle w:val="null3"/>
              <w:ind w:firstLine="975"/>
            </w:pPr>
            <w:r>
              <w:rPr>
                <w:rFonts w:ascii="仿宋_GB2312" w:hAnsi="仿宋_GB2312" w:cs="仿宋_GB2312" w:eastAsia="仿宋_GB2312"/>
              </w:rPr>
              <w:t>联系电话号码：029-88225920、17802925544</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地址：陕西猷为项目管理有限公司（陕西省西安市碑林区南二环路79号广丰国际大厦2区8楼810）</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642,688.61</w:t>
      </w:r>
    </w:p>
    <w:p>
      <w:pPr>
        <w:pStyle w:val="null3"/>
      </w:pPr>
      <w:r>
        <w:rPr>
          <w:rFonts w:ascii="仿宋_GB2312" w:hAnsi="仿宋_GB2312" w:cs="仿宋_GB2312" w:eastAsia="仿宋_GB2312"/>
        </w:rPr>
        <w:t>采购包最高限价（元）: 642,688.61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西安文理学院高新校区工程实训中心及体操馆消防整改项目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642,688.61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标的名称：西安文理学院高新校区工程实训中心及体操馆消防整改项目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一、项目内容</w:t>
            </w:r>
          </w:p>
          <w:p>
            <w:pPr>
              <w:pStyle w:val="null3"/>
            </w:pPr>
            <w:r>
              <w:rPr>
                <w:rFonts w:ascii="仿宋_GB2312" w:hAnsi="仿宋_GB2312" w:cs="仿宋_GB2312" w:eastAsia="仿宋_GB2312"/>
                <w:sz w:val="20"/>
              </w:rPr>
              <w:t>西安文理学院高新校区工程实训中心及体操馆消防整改项目，包含金属面喷刷防火涂料等工作，具体详见工程量清单。</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二、商务要求</w:t>
            </w:r>
          </w:p>
          <w:p>
            <w:pPr>
              <w:pStyle w:val="null3"/>
              <w:spacing w:before="105" w:after="105"/>
              <w:jc w:val="left"/>
            </w:pPr>
            <w:r>
              <w:rPr>
                <w:rFonts w:ascii="仿宋_GB2312" w:hAnsi="仿宋_GB2312" w:cs="仿宋_GB2312" w:eastAsia="仿宋_GB2312"/>
                <w:sz w:val="20"/>
              </w:rPr>
              <w:t>1.</w:t>
            </w:r>
            <w:r>
              <w:rPr>
                <w:rFonts w:ascii="仿宋_GB2312" w:hAnsi="仿宋_GB2312" w:cs="仿宋_GB2312" w:eastAsia="仿宋_GB2312"/>
                <w:sz w:val="20"/>
              </w:rPr>
              <w:t>工期：</w:t>
            </w:r>
            <w:r>
              <w:rPr>
                <w:rFonts w:ascii="仿宋_GB2312" w:hAnsi="仿宋_GB2312" w:cs="仿宋_GB2312" w:eastAsia="仿宋_GB2312"/>
                <w:sz w:val="20"/>
              </w:rPr>
              <w:t>20</w:t>
            </w:r>
            <w:r>
              <w:rPr>
                <w:rFonts w:ascii="仿宋_GB2312" w:hAnsi="仿宋_GB2312" w:cs="仿宋_GB2312" w:eastAsia="仿宋_GB2312"/>
                <w:sz w:val="20"/>
              </w:rPr>
              <w:t>日历日</w:t>
            </w:r>
          </w:p>
          <w:p>
            <w:pPr>
              <w:pStyle w:val="null3"/>
              <w:spacing w:before="105" w:after="105"/>
              <w:jc w:val="left"/>
            </w:pPr>
            <w:r>
              <w:rPr>
                <w:rFonts w:ascii="仿宋_GB2312" w:hAnsi="仿宋_GB2312" w:cs="仿宋_GB2312" w:eastAsia="仿宋_GB2312"/>
                <w:sz w:val="20"/>
              </w:rPr>
              <w:t>2.</w:t>
            </w:r>
            <w:r>
              <w:rPr>
                <w:rFonts w:ascii="仿宋_GB2312" w:hAnsi="仿宋_GB2312" w:cs="仿宋_GB2312" w:eastAsia="仿宋_GB2312"/>
                <w:sz w:val="20"/>
              </w:rPr>
              <w:t>质保期：</w:t>
            </w:r>
            <w:r>
              <w:rPr>
                <w:rFonts w:ascii="仿宋_GB2312" w:hAnsi="仿宋_GB2312" w:cs="仿宋_GB2312" w:eastAsia="仿宋_GB2312"/>
                <w:sz w:val="20"/>
              </w:rPr>
              <w:t>2</w:t>
            </w:r>
            <w:r>
              <w:rPr>
                <w:rFonts w:ascii="仿宋_GB2312" w:hAnsi="仿宋_GB2312" w:cs="仿宋_GB2312" w:eastAsia="仿宋_GB2312"/>
                <w:sz w:val="20"/>
              </w:rPr>
              <w:t>年</w:t>
            </w:r>
          </w:p>
          <w:p>
            <w:pPr>
              <w:pStyle w:val="null3"/>
              <w:spacing w:before="105" w:after="105"/>
              <w:jc w:val="left"/>
            </w:pPr>
            <w:r>
              <w:rPr>
                <w:rFonts w:ascii="仿宋_GB2312" w:hAnsi="仿宋_GB2312" w:cs="仿宋_GB2312" w:eastAsia="仿宋_GB2312"/>
                <w:sz w:val="20"/>
              </w:rPr>
              <w:t>3.</w:t>
            </w:r>
            <w:r>
              <w:rPr>
                <w:rFonts w:ascii="仿宋_GB2312" w:hAnsi="仿宋_GB2312" w:cs="仿宋_GB2312" w:eastAsia="仿宋_GB2312"/>
                <w:sz w:val="20"/>
              </w:rPr>
              <w:t>合同履约地点：西安文理学院高新校区</w:t>
            </w:r>
          </w:p>
          <w:p>
            <w:pPr>
              <w:pStyle w:val="null3"/>
              <w:spacing w:before="105" w:after="105"/>
              <w:jc w:val="left"/>
            </w:pPr>
            <w:r>
              <w:rPr>
                <w:rFonts w:ascii="仿宋_GB2312" w:hAnsi="仿宋_GB2312" w:cs="仿宋_GB2312" w:eastAsia="仿宋_GB2312"/>
                <w:sz w:val="20"/>
              </w:rPr>
              <w:t>4.</w:t>
            </w:r>
            <w:r>
              <w:rPr>
                <w:rFonts w:ascii="仿宋_GB2312" w:hAnsi="仿宋_GB2312" w:cs="仿宋_GB2312" w:eastAsia="仿宋_GB2312"/>
                <w:sz w:val="20"/>
              </w:rPr>
              <w:t>合同价格形式：固定单价</w:t>
            </w:r>
          </w:p>
          <w:p>
            <w:pPr>
              <w:pStyle w:val="null3"/>
              <w:spacing w:before="105" w:after="105"/>
              <w:jc w:val="left"/>
            </w:pPr>
            <w:r>
              <w:rPr>
                <w:rFonts w:ascii="仿宋_GB2312" w:hAnsi="仿宋_GB2312" w:cs="仿宋_GB2312" w:eastAsia="仿宋_GB2312"/>
                <w:sz w:val="20"/>
              </w:rPr>
              <w:t>付款条件说明：</w:t>
            </w:r>
            <w:r>
              <w:rPr>
                <w:rFonts w:ascii="仿宋_GB2312" w:hAnsi="仿宋_GB2312" w:cs="仿宋_GB2312" w:eastAsia="仿宋_GB2312"/>
                <w:sz w:val="20"/>
              </w:rPr>
              <w:t>合同签订后支付合同总金额的</w:t>
            </w:r>
            <w:r>
              <w:rPr>
                <w:rFonts w:ascii="仿宋_GB2312" w:hAnsi="仿宋_GB2312" w:cs="仿宋_GB2312" w:eastAsia="仿宋_GB2312"/>
                <w:sz w:val="20"/>
              </w:rPr>
              <w:t>30%</w:t>
            </w:r>
            <w:r>
              <w:rPr>
                <w:rFonts w:ascii="仿宋_GB2312" w:hAnsi="仿宋_GB2312" w:cs="仿宋_GB2312" w:eastAsia="仿宋_GB2312"/>
                <w:sz w:val="20"/>
              </w:rPr>
              <w:t>为预付款</w:t>
            </w:r>
            <w:r>
              <w:rPr>
                <w:rFonts w:ascii="仿宋_GB2312" w:hAnsi="仿宋_GB2312" w:cs="仿宋_GB2312" w:eastAsia="仿宋_GB2312"/>
                <w:sz w:val="20"/>
              </w:rPr>
              <w:t>；根据项目实际施工进度，经甲方及监理单位审核后，支付合同总金额的</w:t>
            </w:r>
            <w:r>
              <w:rPr>
                <w:rFonts w:ascii="仿宋_GB2312" w:hAnsi="仿宋_GB2312" w:cs="仿宋_GB2312" w:eastAsia="仿宋_GB2312"/>
                <w:sz w:val="20"/>
              </w:rPr>
              <w:t>30%；</w:t>
            </w:r>
            <w:r>
              <w:rPr>
                <w:rFonts w:ascii="仿宋_GB2312" w:hAnsi="仿宋_GB2312" w:cs="仿宋_GB2312" w:eastAsia="仿宋_GB2312"/>
                <w:sz w:val="20"/>
              </w:rPr>
              <w:t>施工完成后，待学校相关部门验收合格，支付合同总金额的</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结算审计后，支付合同总金额的</w:t>
            </w: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质保期结束后，支付合同总金额的</w:t>
            </w:r>
            <w:r>
              <w:rPr>
                <w:rFonts w:ascii="仿宋_GB2312" w:hAnsi="仿宋_GB2312" w:cs="仿宋_GB2312" w:eastAsia="仿宋_GB2312"/>
                <w:sz w:val="20"/>
              </w:rPr>
              <w:t>3%</w:t>
            </w:r>
            <w:r>
              <w:rPr>
                <w:rFonts w:ascii="仿宋_GB2312" w:hAnsi="仿宋_GB2312" w:cs="仿宋_GB2312" w:eastAsia="仿宋_GB2312"/>
                <w:sz w:val="20"/>
              </w:rPr>
              <w:t>。</w:t>
            </w:r>
          </w:p>
          <w:p>
            <w:pPr>
              <w:pStyle w:val="null3"/>
              <w:spacing w:before="105" w:after="105"/>
              <w:jc w:val="left"/>
            </w:pPr>
            <w:r>
              <w:rPr>
                <w:rFonts w:ascii="仿宋_GB2312" w:hAnsi="仿宋_GB2312" w:cs="仿宋_GB2312" w:eastAsia="仿宋_GB2312"/>
                <w:sz w:val="20"/>
              </w:rPr>
              <w:t>5.</w:t>
            </w:r>
            <w:r>
              <w:rPr>
                <w:rFonts w:ascii="仿宋_GB2312" w:hAnsi="仿宋_GB2312" w:cs="仿宋_GB2312" w:eastAsia="仿宋_GB2312"/>
                <w:sz w:val="20"/>
              </w:rPr>
              <w:t>供应商须按照发包人提供的设计图纸、规范等进行消防改造，质量标准按照相应施工规范达到验收标准，确保最终通过属地部门验收。</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供应商集中踏勘时间：2026年04月13日09：00（过时不候）； 集合地点为：陕西省西安市雁塔区科技六路1号（西安文理学院）南大门； 联系人：李老师、薛老师； 联系电话：029-88225920、17802925544； 由供应商自行承担因现场踏勘而产生的费用及安全。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2.供应商提供2025年10月至今已缴纳的至少一个月的纳税证明或完税证明（除印花税以外的任意税种），纳税证明或完税证明上应有代收机构或税务机关的公章或业务专用章，依法免税的单位应提供相关证明材料。 3.供应商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4.提供具有履行合同所必需的设备和专业技术能力的承诺声明。 5.提供参加政府采购活动前3年内，在经营活动中没有重大违法记录的书面声明。供应商需在项目电子化交易系统中按要求上传相应证明文件并进行电子签章。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提供具备建筑行政主管部门颁发的消防设施工程专业承包二级及以上资质证明，并具有合格有效的安全生产许可证。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须具备机电工程专业二级及以上注册建造师执业证且在本单位注册证明，具备有效的安全生产考核合格证（建安B证），且未担任其他在建工程项目的项目经理。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备案</w:t>
            </w:r>
          </w:p>
        </w:tc>
        <w:tc>
          <w:tcPr>
            <w:tcW w:type="dxa" w:w="3322"/>
          </w:tcPr>
          <w:p>
            <w:pPr>
              <w:pStyle w:val="null3"/>
            </w:pPr>
            <w:r>
              <w:rPr>
                <w:rFonts w:ascii="仿宋_GB2312" w:hAnsi="仿宋_GB2312" w:cs="仿宋_GB2312" w:eastAsia="仿宋_GB2312"/>
              </w:rPr>
              <w:t>供应商基本信息及项目经理信息应在“陕西省建筑市场监管与诚信信息发布平台” 可查询。</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竞争性磋商的，须出具法定代表人身份证明书；法定代表人授权代表参加竞争性磋商的，须出具法定代表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2.异常低价情形及处理详见《关于推动解决政府采购异常低价问题的通知》（财库〔2026〕2号）。 3. 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磋商响应文件的签字盖章是否合格</w:t>
            </w:r>
          </w:p>
        </w:tc>
        <w:tc>
          <w:tcPr>
            <w:tcW w:type="dxa" w:w="1661"/>
          </w:tcPr>
          <w:p>
            <w:pPr>
              <w:pStyle w:val="null3"/>
            </w:pPr>
            <w:r>
              <w:rPr>
                <w:rFonts w:ascii="仿宋_GB2312" w:hAnsi="仿宋_GB2312" w:cs="仿宋_GB2312" w:eastAsia="仿宋_GB2312"/>
              </w:rPr>
              <w:t>响应文件封面 已标价工程量清单 报价函 标的清单 供应商资格证明文件.docx 响应函 商务条款偏离表.docx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磋商报价是否超过预算和最高限价。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符合磋商文件商务条款要求。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供应商承诺书.docx 响应文件封面 方案说明.docx 其他应说明的事项.docx 残疾人福利性单位声明函 报价函 标的清单 供应商资格证明文件.docx 响应函 商务条款偏离表.docx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供应商针对本项目编制完善的施工方案，内容包含:①施工准备②施工方法③重点难点工程分析及解决措施④影响正常施工外在因素分析及对应预案 以上内容专门针对本项目且阐述明晰、全面、合理得8分，每缺一项内容扣2分，若上述内容存在瑕疵，每存在1处瑕疵扣0.5分，扣完为止。 “瑕疵”指内容明显错误，或内容表述前后矛盾或内容不完整或表达简单笼统或缺少关键点，或不适用本项目特性、套用其他项目内容或内容不能满足本项目实际需求等任意一种情形。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供应商针对本项目编制完善的施工进度计划，内容包含:①进度计划保证措施②施工进度计划横道图③工期保证措施等。 以上内容专门针对本项目且阐述明晰、全面、合理得9分，每缺一项内容扣3分，若上述内容存在瑕疵，每存在1处瑕疵扣1分，扣完为止。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供应商针对本项目编制完善的质量保证措施，内容包含:①质量管理体系②确保质量的技术组织措施③施工质量控制措施④施工检测及工序交验方案等。 以上内容专门针对本项目且阐述明晰、全面、合理得8分，每缺一项内容扣2分，若上述内容存在瑕疵，每存在1处瑕疵扣0.5分，扣完为止。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供应商针对本项目编制完善的资源配置计划，内容包含:①施工机械设备投入计划②主要施工材料供应计划③劳动力资源配置等。 以上内容专门针对本项目且阐述明晰、全面、合理得6分，每缺一项内容扣2分，若上述内容存在瑕疵，每存在1处瑕疵扣0.5分，扣完为止。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供应商针对本项目编制完整的安全施工措施，内容包含:①安全文明施工管理制度②安全文明施工措施③安全应急预案等。 以上内容专门针对本项目且阐述明晰、全面、合理得9分，每缺一项内容扣3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供应商针对本项目编制主要管理措施，内容包含:①成品保护措施及季节性施工措施②消防措施③环境保护措施等。 以上内容专门针对本项目且阐述明晰、全面、合理得6分，每缺一项内容扣2分，若上述内容存在瑕疵，每存在1处瑕疵扣0.5分，扣完为止。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结合本项目的实际，供应商应依据国家相关规定对工程质量编制保修方案，内容包含:①工程验收②维修措施③保修承诺等。 以上内容专门针对本项目且阐述明晰、全面、合理得6分，每缺一项内容扣2分，若上述内容存在瑕疵，每存在1处瑕疵扣0.5分，扣完为止。 “瑕疵”指内容明显错误，或内容表述前后矛盾或内容不完整或表达简单笼统或缺少关键点，或不适用本项目特性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拟派项目经理的职称： 具备高级及以上技术职称证书，得2分，中级技术职称证书得1分，其余情况不得分。 评审依据：评审时以供应商提供的拟派项目经理职称证书扫描件为准，并提供近三个月内任意一月的社保证明，未提供的不得分。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项目团队管理人员</w:t>
            </w:r>
          </w:p>
        </w:tc>
        <w:tc>
          <w:tcPr>
            <w:tcW w:type="dxa" w:w="2492"/>
          </w:tcPr>
          <w:p>
            <w:pPr>
              <w:pStyle w:val="null3"/>
            </w:pPr>
            <w:r>
              <w:rPr>
                <w:rFonts w:ascii="仿宋_GB2312" w:hAnsi="仿宋_GB2312" w:cs="仿宋_GB2312" w:eastAsia="仿宋_GB2312"/>
              </w:rPr>
              <w:t>内容至少包括①项目管理机构图;②岗位安排及职责;③管理制度;④技术负责人为机电专业中级工程师⑤相应的协调措施等。 以上内容专门针对本项目且阐述明晰、全面、合理得10分，每缺一项内容扣2分，若上述内容存在瑕疵，每存在1处瑕疵扣0.5分，扣完为止。 “瑕疵”指内容明显错误，或内容表述前后矛盾或内容不完整或表达简单笼统或缺少关键点，或不适用本项目特性、套用其他项目内容或内容不能满足本项目实际需求等任意一种情形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年3月1日至今类似业绩（以合同签订日期为准），每份合格业绩合同得2分，满分6分。 备注：业绩证明材料包括业绩合同完整版、竣工验收报告及合同对应发票。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详见附件：方案说明.docx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