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版本号：SXLX-HW-2026-005.1B120260324001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业务专用材料购置项目—美国白蛾性诱捕器采购(二次)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SXLX-HW-2026-005.1B1</w:t>
      </w:r>
      <w:r>
        <w:br/>
      </w:r>
      <w:r>
        <w:br/>
      </w:r>
      <w:r>
        <w:br/>
      </w:r>
    </w:p>
    <w:p>
      <w:pPr>
        <w:pStyle w:val="null3"/>
        <w:jc w:val="center"/>
        <w:outlineLvl w:val="2"/>
      </w:pPr>
      <w:r>
        <w:rPr>
          <w:rFonts w:ascii="仿宋_GB2312" w:hAnsi="仿宋_GB2312" w:cs="仿宋_GB2312" w:eastAsia="仿宋_GB2312"/>
          <w:sz w:val="28"/>
          <w:b/>
        </w:rPr>
        <w:t>西安市林木病虫害防治检疫站</w:t>
      </w:r>
    </w:p>
    <w:p>
      <w:pPr>
        <w:pStyle w:val="null3"/>
        <w:jc w:val="center"/>
        <w:outlineLvl w:val="2"/>
      </w:pPr>
      <w:r>
        <w:rPr>
          <w:rFonts w:ascii="仿宋_GB2312" w:hAnsi="仿宋_GB2312" w:cs="仿宋_GB2312" w:eastAsia="仿宋_GB2312"/>
          <w:sz w:val="28"/>
          <w:b/>
        </w:rPr>
        <w:t>陕西立信工程项目管理有限公司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陕西立信工程项目管理有限公司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西安市林木病虫害防治检疫站</w:t>
      </w:r>
      <w:r>
        <w:rPr>
          <w:rFonts w:ascii="仿宋_GB2312" w:hAnsi="仿宋_GB2312" w:cs="仿宋_GB2312" w:eastAsia="仿宋_GB2312"/>
        </w:rPr>
        <w:t>委托，拟对</w:t>
      </w:r>
      <w:r>
        <w:rPr>
          <w:rFonts w:ascii="仿宋_GB2312" w:hAnsi="仿宋_GB2312" w:cs="仿宋_GB2312" w:eastAsia="仿宋_GB2312"/>
        </w:rPr>
        <w:t>业务专用材料购置项目—美国白蛾性诱捕器采购(二次)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SXLX-HW-2026-005.1B1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业务专用材料购置项目—美国白蛾性诱捕器采购(二次)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西安市林木病虫害防治检疫站美国白蛾性诱捕器采购项目旨在美国白蛾发生期通过悬挂性诱捕器，全面提升监测防控能力,切实巩固防控成效，具体详见磋商文件第三章。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采购包1（业务专用材料购置项目—美国白蛾性诱捕器采购）：属于专门面向中小企业采购。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2、法定代表人授权书/法定代表人身份证明：法定代表人参加磋商的，须出具法定代表人身份证明书及身份证。法定代表人授权委托人参加磋商的，须出具法定代表人授权委托书及授权委托人身份证；</w:t>
      </w:r>
    </w:p>
    <w:p>
      <w:pPr>
        <w:pStyle w:val="null3"/>
      </w:pPr>
      <w:r>
        <w:rPr>
          <w:rFonts w:ascii="仿宋_GB2312" w:hAnsi="仿宋_GB2312" w:cs="仿宋_GB2312" w:eastAsia="仿宋_GB2312"/>
        </w:rPr>
        <w:t>3、财务状况报告：提供2024年度经审计的财务审计报告或提供本项目磋商前三个月内基本开户银行出具的资信良好的证明或提供政府采购专业担保机构出具的投标担保函（提供银行资信证明的需同时附基本存款账户开户许可证（或基本存款账户信息）；</w:t>
      </w:r>
    </w:p>
    <w:p>
      <w:pPr>
        <w:pStyle w:val="null3"/>
      </w:pPr>
      <w:r>
        <w:rPr>
          <w:rFonts w:ascii="仿宋_GB2312" w:hAnsi="仿宋_GB2312" w:cs="仿宋_GB2312" w:eastAsia="仿宋_GB2312"/>
        </w:rPr>
        <w:t>4、税收缴纳证明：提供递交响应文件截止之日前一年内至少一个月的依法缴纳税收的相关凭据（时间以税款所属日期为准），依法免税或无须缴纳税收的供应商应提供相应证明文件；</w:t>
      </w:r>
    </w:p>
    <w:p>
      <w:pPr>
        <w:pStyle w:val="null3"/>
      </w:pPr>
      <w:r>
        <w:rPr>
          <w:rFonts w:ascii="仿宋_GB2312" w:hAnsi="仿宋_GB2312" w:cs="仿宋_GB2312" w:eastAsia="仿宋_GB2312"/>
        </w:rPr>
        <w:t>5、社会保障资金缴纳证明：提供递交响应文件截止之日前一年内至少一个月的社会保障资金缴纳证明，依法不需要缴纳社会保障资金的供应商应提供相关文件证明；</w:t>
      </w:r>
    </w:p>
    <w:p>
      <w:pPr>
        <w:pStyle w:val="null3"/>
      </w:pPr>
      <w:r>
        <w:rPr>
          <w:rFonts w:ascii="仿宋_GB2312" w:hAnsi="仿宋_GB2312" w:cs="仿宋_GB2312" w:eastAsia="仿宋_GB2312"/>
        </w:rPr>
        <w:t>6、前三年无重大违法记录声明：参加政府采购活动前3年内在经营活动中没有重大违法记录的书面声明；</w:t>
      </w:r>
    </w:p>
    <w:p>
      <w:pPr>
        <w:pStyle w:val="null3"/>
      </w:pPr>
      <w:r>
        <w:rPr>
          <w:rFonts w:ascii="仿宋_GB2312" w:hAnsi="仿宋_GB2312" w:cs="仿宋_GB2312" w:eastAsia="仿宋_GB2312"/>
        </w:rPr>
        <w:t>7、履行合同所必需的设备和专业技术能力：具备履行合同所必需的设备和专业技术能力的证明材料；</w:t>
      </w:r>
    </w:p>
    <w:p>
      <w:pPr>
        <w:pStyle w:val="null3"/>
      </w:pPr>
      <w:r>
        <w:rPr>
          <w:rFonts w:ascii="仿宋_GB2312" w:hAnsi="仿宋_GB2312" w:cs="仿宋_GB2312" w:eastAsia="仿宋_GB2312"/>
        </w:rPr>
        <w:t>8、信用查询：供应商未被列入“中国执行信息公开网”（http://zxgk.court.gov.cn/shixin/）失信被执行人名单，未被列入“信用中国”网站（https://www.creditchina.gov.cn/xinyongfuwu/zhongdashuishouweifaanjian/）重大税收违法失信主体，未被列入“中国政府采购网”（www.ccgp.gov.cn）政府采购严重违法失信行为记录名单； 以评标现场查询结果为准</w:t>
      </w:r>
    </w:p>
    <w:p>
      <w:pPr>
        <w:pStyle w:val="null3"/>
      </w:pPr>
      <w:r>
        <w:rPr>
          <w:rFonts w:ascii="仿宋_GB2312" w:hAnsi="仿宋_GB2312" w:cs="仿宋_GB2312" w:eastAsia="仿宋_GB2312"/>
        </w:rPr>
        <w:t>9、企业关联关系：单位负责人为同一人或者存在直接控股、管理关系的不同供应商，不得参加同一合同项下的采购活动；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10、本项目不接受联合体磋商：本项目不接受联合体磋商；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西安市林木病虫害防治检疫站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陕西省西安市雁塔区长延堡街道办事处长安南路农林巷7号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孟老师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029-85252340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陕西立信工程项目管理有限公司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西安市雁塔区太白南路39号金石柏朗大厦12层1201室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孔祥妍、李娇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029-87519950-809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和国家发改委办公厅颁发的《关于招标代理服务收费有关问题的通知》（发改办价格〔2003〕857号）《调整后的招标代理服务收费标准》（发改价格【2011】534号）文件规定收取。 成交单位在领取成交通知书时向代理机构支付代理服务费。 缴纳账户如下： 户名：陕西立信工程项目管理有限公司 账号：129903881810301 开户行：招商银行西安朝阳门支行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西安市林木病虫害防治检疫站</w:t>
      </w:r>
      <w:r>
        <w:rPr>
          <w:rFonts w:ascii="仿宋_GB2312" w:hAnsi="仿宋_GB2312" w:cs="仿宋_GB2312" w:eastAsia="仿宋_GB2312"/>
        </w:rPr>
        <w:t>和</w:t>
      </w:r>
      <w:r>
        <w:rPr>
          <w:rFonts w:ascii="仿宋_GB2312" w:hAnsi="仿宋_GB2312" w:cs="仿宋_GB2312" w:eastAsia="仿宋_GB2312"/>
        </w:rPr>
        <w:t>陕西立信工程项目管理有限公司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西安市林木病虫害防治检疫站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陕西立信工程项目管理有限公司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陕西立信工程项目管理有限公司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合格，符合本项目采购需求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联系人：李娇</w:t>
      </w:r>
    </w:p>
    <w:p>
      <w:pPr>
        <w:pStyle w:val="null3"/>
      </w:pPr>
      <w:r>
        <w:rPr>
          <w:rFonts w:ascii="仿宋_GB2312" w:hAnsi="仿宋_GB2312" w:cs="仿宋_GB2312" w:eastAsia="仿宋_GB2312"/>
        </w:rPr>
        <w:t>联系电话：029-87519950-809</w:t>
      </w:r>
    </w:p>
    <w:p>
      <w:pPr>
        <w:pStyle w:val="null3"/>
      </w:pPr>
      <w:r>
        <w:rPr>
          <w:rFonts w:ascii="仿宋_GB2312" w:hAnsi="仿宋_GB2312" w:cs="仿宋_GB2312" w:eastAsia="仿宋_GB2312"/>
        </w:rPr>
        <w:t>地址：西安市雁塔区太白南路39号金石柏朗大厦12层1201室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林木病虫害防治检疫站美国白蛾性诱捕器采购项目旨在美国白蛾发生期通过悬挂性诱捕器，全面提升监测防控能力,切实巩固防控成效，现需要采购美国白蛾性诱捕器1200套。每套包含桶形诱捕器、美国白蛾诱芯两部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360,000.00</w:t>
      </w:r>
    </w:p>
    <w:p>
      <w:pPr>
        <w:pStyle w:val="null3"/>
      </w:pPr>
      <w:r>
        <w:rPr>
          <w:rFonts w:ascii="仿宋_GB2312" w:hAnsi="仿宋_GB2312" w:cs="仿宋_GB2312" w:eastAsia="仿宋_GB2312"/>
        </w:rPr>
        <w:t>采购包最高限价（元）: 360,000.00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采购美国白蛾性诱捕器1200套</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right"/>
            </w:pPr>
            <w:r>
              <w:rPr>
                <w:rFonts w:ascii="仿宋_GB2312" w:hAnsi="仿宋_GB2312" w:cs="仿宋_GB2312" w:eastAsia="仿宋_GB2312"/>
              </w:rPr>
              <w:t>360,000.00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标的名称：采购美国白蛾性诱捕器1200套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left"/>
            </w:pPr>
            <w:r>
              <w:rPr>
                <w:rFonts w:ascii="仿宋_GB2312" w:hAnsi="仿宋_GB2312" w:cs="仿宋_GB2312" w:eastAsia="仿宋_GB2312"/>
                <w:b/>
              </w:rPr>
              <w:t>一</w:t>
            </w:r>
            <w:r>
              <w:rPr>
                <w:rFonts w:ascii="仿宋_GB2312" w:hAnsi="仿宋_GB2312" w:cs="仿宋_GB2312" w:eastAsia="仿宋_GB2312"/>
                <w:b/>
              </w:rPr>
              <w:t>、采购内容</w:t>
            </w:r>
          </w:p>
          <w:p>
            <w:pPr>
              <w:pStyle w:val="null3"/>
              <w:ind w:firstLine="400"/>
              <w:jc w:val="left"/>
            </w:pPr>
            <w:r>
              <w:rPr>
                <w:rFonts w:ascii="仿宋_GB2312" w:hAnsi="仿宋_GB2312" w:cs="仿宋_GB2312" w:eastAsia="仿宋_GB2312"/>
              </w:rPr>
              <w:t>美国白蛾性诱捕器</w:t>
            </w:r>
            <w:r>
              <w:rPr>
                <w:rFonts w:ascii="仿宋_GB2312" w:hAnsi="仿宋_GB2312" w:cs="仿宋_GB2312" w:eastAsia="仿宋_GB2312"/>
              </w:rPr>
              <w:t>1200套。包含美国白蛾性诱捕器、美国白蛾诱芯。</w:t>
            </w:r>
          </w:p>
          <w:p>
            <w:pPr>
              <w:pStyle w:val="null3"/>
              <w:jc w:val="left"/>
            </w:pPr>
            <w:r>
              <w:rPr>
                <w:rFonts w:ascii="仿宋_GB2312" w:hAnsi="仿宋_GB2312" w:cs="仿宋_GB2312" w:eastAsia="仿宋_GB2312"/>
                <w:b/>
              </w:rPr>
              <w:t>二</w:t>
            </w:r>
            <w:r>
              <w:rPr>
                <w:rFonts w:ascii="仿宋_GB2312" w:hAnsi="仿宋_GB2312" w:cs="仿宋_GB2312" w:eastAsia="仿宋_GB2312"/>
                <w:b/>
              </w:rPr>
              <w:t>、主要技术指标及要求</w:t>
            </w:r>
          </w:p>
          <w:p>
            <w:pPr>
              <w:pStyle w:val="null3"/>
              <w:ind w:firstLine="402"/>
              <w:jc w:val="left"/>
            </w:pPr>
            <w:r>
              <w:rPr>
                <w:rFonts w:ascii="仿宋_GB2312" w:hAnsi="仿宋_GB2312" w:cs="仿宋_GB2312" w:eastAsia="仿宋_GB2312"/>
                <w:b/>
              </w:rPr>
              <w:t>（一）桶形诱捕器组成</w:t>
            </w:r>
          </w:p>
          <w:p>
            <w:pPr>
              <w:pStyle w:val="null3"/>
              <w:ind w:firstLine="400"/>
              <w:jc w:val="left"/>
            </w:pPr>
            <w:r>
              <w:rPr>
                <w:rFonts w:ascii="仿宋_GB2312" w:hAnsi="仿宋_GB2312" w:cs="仿宋_GB2312" w:eastAsia="仿宋_GB2312"/>
              </w:rPr>
              <w:t>遮雨盖</w:t>
            </w:r>
            <w:r>
              <w:rPr>
                <w:rFonts w:ascii="仿宋_GB2312" w:hAnsi="仿宋_GB2312" w:cs="仿宋_GB2312" w:eastAsia="仿宋_GB2312"/>
              </w:rPr>
              <w:t>1个、火锅式连接件1个、集虫桶1个、诱芯安装片1个。</w:t>
            </w:r>
          </w:p>
          <w:p>
            <w:pPr>
              <w:pStyle w:val="null3"/>
              <w:ind w:firstLine="400"/>
              <w:jc w:val="left"/>
            </w:pPr>
            <w:r>
              <w:rPr>
                <w:rFonts w:ascii="仿宋_GB2312" w:hAnsi="仿宋_GB2312" w:cs="仿宋_GB2312" w:eastAsia="仿宋_GB2312"/>
              </w:rPr>
              <w:t>遮雨盖：圆形，直径大于链接件直径，四个可用于固定支撑漏斗的圆柱形孔，其中相对的两个可以穿通，用于固定铁丝，中心向下圆点处有用于悬挂、固定诱芯的带孔小圆柱体，与美国白蛾诱芯配套使用。</w:t>
            </w:r>
          </w:p>
          <w:p>
            <w:pPr>
              <w:pStyle w:val="null3"/>
              <w:ind w:firstLine="400"/>
              <w:jc w:val="left"/>
            </w:pPr>
            <w:r>
              <w:rPr>
                <w:rFonts w:ascii="仿宋_GB2312" w:hAnsi="仿宋_GB2312" w:cs="仿宋_GB2312" w:eastAsia="仿宋_GB2312"/>
              </w:rPr>
              <w:t>火锅式连接件：高</w:t>
            </w:r>
            <w:r>
              <w:rPr>
                <w:rFonts w:ascii="仿宋_GB2312" w:hAnsi="仿宋_GB2312" w:cs="仿宋_GB2312" w:eastAsia="仿宋_GB2312"/>
              </w:rPr>
              <w:t>210mm，相对的两个支撑杆分别长30±1mm和40±2mm；上端内径95±1mm、外径120±22mm；下端内径30±2mm，外径165±2mm，漏斗高95±1mm。</w:t>
            </w:r>
          </w:p>
          <w:p>
            <w:pPr>
              <w:pStyle w:val="null3"/>
              <w:ind w:firstLine="400"/>
              <w:jc w:val="left"/>
            </w:pPr>
            <w:r>
              <w:rPr>
                <w:rFonts w:ascii="仿宋_GB2312" w:hAnsi="仿宋_GB2312" w:cs="仿宋_GB2312" w:eastAsia="仿宋_GB2312"/>
              </w:rPr>
              <w:t>集虫桶：上端内径</w:t>
            </w:r>
            <w:r>
              <w:rPr>
                <w:rFonts w:ascii="仿宋_GB2312" w:hAnsi="仿宋_GB2312" w:cs="仿宋_GB2312" w:eastAsia="仿宋_GB2312"/>
              </w:rPr>
              <w:t>153±3mm、外径166±3mm；下端直径132±2mm、桶高133±3mm。</w:t>
            </w:r>
          </w:p>
          <w:p>
            <w:pPr>
              <w:pStyle w:val="null3"/>
              <w:ind w:firstLine="400"/>
              <w:jc w:val="left"/>
            </w:pPr>
            <w:r>
              <w:rPr>
                <w:rFonts w:ascii="仿宋_GB2312" w:hAnsi="仿宋_GB2312" w:cs="仿宋_GB2312" w:eastAsia="仿宋_GB2312"/>
              </w:rPr>
              <w:t>诱捕器耐性强度须满足：拉伸强度不小于</w:t>
            </w:r>
            <w:r>
              <w:rPr>
                <w:rFonts w:ascii="仿宋_GB2312" w:hAnsi="仿宋_GB2312" w:cs="仿宋_GB2312" w:eastAsia="仿宋_GB2312"/>
              </w:rPr>
              <w:t>32MPa；筒支梁缺口冲击强度不小于4.8KJ/㎡；经紫外老化后拉伸强度不小于31MPa；筒支粱缺口冲击强度不小于4.5KJ/㎡。</w:t>
            </w:r>
          </w:p>
          <w:p>
            <w:pPr>
              <w:pStyle w:val="null3"/>
              <w:ind w:firstLine="400"/>
              <w:jc w:val="left"/>
            </w:pPr>
            <w:r>
              <w:rPr>
                <w:rFonts w:ascii="仿宋_GB2312" w:hAnsi="仿宋_GB2312" w:cs="仿宋_GB2312" w:eastAsia="仿宋_GB2312"/>
              </w:rPr>
              <w:t>诱捕器须提供国家级检测机构出具的耐性强度检测报告。</w:t>
            </w:r>
          </w:p>
          <w:p>
            <w:pPr>
              <w:pStyle w:val="null3"/>
              <w:ind w:firstLine="402"/>
              <w:jc w:val="left"/>
            </w:pPr>
            <w:r>
              <w:rPr>
                <w:rFonts w:ascii="仿宋_GB2312" w:hAnsi="仿宋_GB2312" w:cs="仿宋_GB2312" w:eastAsia="仿宋_GB2312"/>
                <w:b/>
              </w:rPr>
              <w:t>（二）美国白蛾诱芯</w:t>
            </w:r>
          </w:p>
          <w:p>
            <w:pPr>
              <w:pStyle w:val="null3"/>
              <w:ind w:firstLine="400"/>
              <w:jc w:val="left"/>
            </w:pPr>
            <w:r>
              <w:rPr>
                <w:rFonts w:ascii="仿宋_GB2312" w:hAnsi="仿宋_GB2312" w:cs="仿宋_GB2312" w:eastAsia="仿宋_GB2312"/>
              </w:rPr>
              <w:t>诱芯信息素成分：（</w:t>
            </w:r>
            <w:r>
              <w:rPr>
                <w:rFonts w:ascii="仿宋_GB2312" w:hAnsi="仿宋_GB2312" w:cs="仿宋_GB2312" w:eastAsia="仿宋_GB2312"/>
              </w:rPr>
              <w:t>1，Z3,Z6）-9S,10R-环氧二十碳三烯，（Z3,Z6）-9S，10R-环氧二一碳双烯，（Z9,Z12，Z15）-十八碳三烯醛等。信息素含量≧5mg;</w:t>
            </w:r>
          </w:p>
          <w:p>
            <w:pPr>
              <w:pStyle w:val="null3"/>
              <w:ind w:firstLine="400"/>
              <w:jc w:val="left"/>
            </w:pPr>
            <w:r>
              <w:rPr>
                <w:rFonts w:ascii="仿宋_GB2312" w:hAnsi="仿宋_GB2312" w:cs="仿宋_GB2312" w:eastAsia="仿宋_GB2312"/>
              </w:rPr>
              <w:t>缓释载体：聚乙烯塑料片，长</w:t>
            </w:r>
            <w:r>
              <w:rPr>
                <w:rFonts w:ascii="仿宋_GB2312" w:hAnsi="仿宋_GB2312" w:cs="仿宋_GB2312" w:eastAsia="仿宋_GB2312"/>
              </w:rPr>
              <w:t>36-40mm，宽17-20mm；</w:t>
            </w:r>
          </w:p>
          <w:p>
            <w:pPr>
              <w:pStyle w:val="null3"/>
              <w:ind w:firstLine="400"/>
              <w:jc w:val="left"/>
            </w:pPr>
            <w:r>
              <w:rPr>
                <w:rFonts w:ascii="仿宋_GB2312" w:hAnsi="仿宋_GB2312" w:cs="仿宋_GB2312" w:eastAsia="仿宋_GB2312"/>
              </w:rPr>
              <w:t>缓释时间：</w:t>
            </w:r>
            <w:r>
              <w:rPr>
                <w:rFonts w:ascii="仿宋_GB2312" w:hAnsi="仿宋_GB2312" w:cs="仿宋_GB2312" w:eastAsia="仿宋_GB2312"/>
              </w:rPr>
              <w:t>75-90天</w:t>
            </w:r>
          </w:p>
          <w:p>
            <w:pPr>
              <w:pStyle w:val="null3"/>
              <w:ind w:firstLine="400"/>
              <w:jc w:val="left"/>
            </w:pPr>
            <w:r>
              <w:rPr>
                <w:rFonts w:ascii="仿宋_GB2312" w:hAnsi="仿宋_GB2312" w:cs="仿宋_GB2312" w:eastAsia="仿宋_GB2312"/>
              </w:rPr>
              <w:t>美国白蛾诱芯具有省级及省级以上信息素含量分析测试报告</w:t>
            </w:r>
            <w:r>
              <w:rPr>
                <w:rFonts w:ascii="仿宋_GB2312" w:hAnsi="仿宋_GB2312" w:cs="仿宋_GB2312" w:eastAsia="仿宋_GB2312"/>
              </w:rPr>
              <w:t>。</w:t>
            </w:r>
          </w:p>
          <w:p>
            <w:pPr>
              <w:pStyle w:val="null3"/>
              <w:jc w:val="left"/>
            </w:pPr>
            <w:r>
              <w:rPr>
                <w:rFonts w:ascii="仿宋_GB2312" w:hAnsi="仿宋_GB2312" w:cs="仿宋_GB2312" w:eastAsia="仿宋_GB2312"/>
                <w:b/>
              </w:rPr>
              <w:t>三、服务要求</w:t>
            </w:r>
          </w:p>
          <w:p>
            <w:pPr>
              <w:pStyle w:val="null3"/>
              <w:ind w:firstLine="400"/>
              <w:jc w:val="left"/>
            </w:pPr>
            <w:r>
              <w:rPr>
                <w:rFonts w:ascii="仿宋_GB2312" w:hAnsi="仿宋_GB2312" w:cs="仿宋_GB2312" w:eastAsia="仿宋_GB2312"/>
              </w:rPr>
              <w:t>（一）中标供应商签订采购合同后，须在合同签订后</w:t>
            </w:r>
            <w:r>
              <w:rPr>
                <w:rFonts w:ascii="仿宋_GB2312" w:hAnsi="仿宋_GB2312" w:cs="仿宋_GB2312" w:eastAsia="仿宋_GB2312"/>
              </w:rPr>
              <w:t>10个工作日内将全部货物交付至采购人指定地点；中标供应商保证供货质量符合采购货物技术指标及要求。</w:t>
            </w:r>
          </w:p>
          <w:p>
            <w:pPr>
              <w:pStyle w:val="null3"/>
              <w:ind w:firstLine="400"/>
              <w:jc w:val="left"/>
            </w:pPr>
            <w:r>
              <w:rPr>
                <w:rFonts w:ascii="仿宋_GB2312" w:hAnsi="仿宋_GB2312" w:cs="仿宋_GB2312" w:eastAsia="仿宋_GB2312"/>
              </w:rPr>
              <w:t>（二）中标供应商应负责货物使用、保存等技术培训及指导服务。</w:t>
            </w:r>
          </w:p>
          <w:p>
            <w:pPr>
              <w:pStyle w:val="null3"/>
            </w:pPr>
            <w:r>
              <w:rPr>
                <w:rFonts w:ascii="仿宋_GB2312" w:hAnsi="仿宋_GB2312" w:cs="仿宋_GB2312" w:eastAsia="仿宋_GB2312"/>
              </w:rPr>
              <w:t xml:space="preserve">  1.供应商应在交货后7个工作日内，为采购方提供不少于1次、时长不少于2小时的现场技术培训，培训内容包括但不限于诱捕器的正确悬挂方法、诱芯的安装与更换、日常数据记录要点及保存注意事项。</w:t>
            </w:r>
            <w:r>
              <w:br/>
            </w:r>
            <w:r>
              <w:rPr>
                <w:rFonts w:ascii="仿宋_GB2312" w:hAnsi="仿宋_GB2312" w:cs="仿宋_GB2312" w:eastAsia="仿宋_GB2312"/>
              </w:rPr>
              <w:t xml:space="preserve">   2.在监测期内，供应商应提供7×24小时的电话技术咨询服务，并在采购方提出紧急现场指导需求时（例如诱捕效果异常），于48小时内派技术人员到场处理。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合同签订之日起10个工作日。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西安市林木病虫害防治检疫站 (农林巷7号）</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合同签订后10个工作日内提交货物并经采购人验收合格后，采购人向中标供应商一次性结清货款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采购方确认产品的产地、材料、规格和数量，验收合格后，填写项目验收单。 1.验收依据：本项目采购需求、供应商的投标（响应）文件以及双方签订的合同，共同作为验收的依据。 2.到货验收：货物交付后，采购人对产品的数量、外观、规格、产地等进行初步检验。 3.质量保证：项目验收单不代表对产品内在质量的最终认可。在质保期内，如发现产品存在质量缺陷（包括但不限于性能不达标、提前老化、缓释时间不足等），中标供应商仍应按本合同约定承担质量保证责任。</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产品质保期为十二个月。（自交货验收合格之日算起）</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1.按照《中华人民共和国民法典》《中华人民共和国政府采购法》中的相关条款执行。 2.未按合同要求提供服务或产品质量不能满足使用要求，采购方有权终止合同，并对供方违约行为进行追究，同时按有关规定进行处罚。 （二）合同争议解决的方式：本合同在履行过程中发生的争议，由甲、乙双方当事人协商解决，协商不成的按下列第2种方式解决： 1.提交西安仲裁委员会仲裁； 2.依法向有管辖权的人民法院起诉。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诱捕器单价限价为人民币300元/套，总价限价为人民币360000元。 供应商的报价不得超过单价限价及总价限价，否则按无效响应处理。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项目组人员配备.docx 业绩.docx 供应商应提交的相关资格证明文件.docx 响应函 磋商报价一览表.docx 供应商承诺书.docx 响应方案.docx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法定代表人参加磋商的，须出具法定代表人身份证明书及身份证。法定代表人授权委托人参加磋商的，须出具法定代表人授权委托书及授权委托人身份证；</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审计报告或提供本项目磋商前三个月内基本开户银行出具的资信良好的证明或提供政府采购专业担保机构出具的投标担保函（提供银行资信证明的需同时附基本存款账户开户许可证（或基本存款账户信息）；</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提供递交响应文件截止之日前一年内至少一个月的依法缴纳税收的相关凭据（时间以税款所属日期为准），依法免税或无须缴纳税收的供应商应提供相应证明文件；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提供递交响应文件截止之日前一年内至少一个月的社会保障资金缴纳证明，依法不需要缴纳社会保障资金的供应商应提供相关文件证明；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https://www.creditchina.gov.cn/xinyongfuwu/zhongdashuishouweifaanjian/）重大税收违法失信主体，未被列入“中国政府采购网”（www.ccgp.gov.cn）政府采购严重违法失信行为记录名单； 以评标现场查询结果为准</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磋商报价一览表.docx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响应文件中项目名称、项目编号与本项目一致</w:t>
            </w:r>
          </w:p>
        </w:tc>
        <w:tc>
          <w:tcPr>
            <w:tcW w:type="dxa" w:w="1661"/>
          </w:tcPr>
          <w:p>
            <w:pPr>
              <w:pStyle w:val="null3"/>
            </w:pPr>
            <w:r>
              <w:rPr>
                <w:rFonts w:ascii="仿宋_GB2312" w:hAnsi="仿宋_GB2312" w:cs="仿宋_GB2312" w:eastAsia="仿宋_GB2312"/>
              </w:rPr>
              <w:t>项目组人员配备.docx 业绩.docx 中小企业声明函 商务应答表 报价表 供应商承诺书.docx 响应方案.docx 响应文件封面 产品技术参数表 残疾人福利性单位声明函 标的清单 供应商应提交的相关资格证明文件.docx 响应函 磋商报价一览表.docx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签章均符合采购文件要求，且无遗漏</w:t>
            </w:r>
          </w:p>
        </w:tc>
        <w:tc>
          <w:tcPr>
            <w:tcW w:type="dxa" w:w="1661"/>
          </w:tcPr>
          <w:p>
            <w:pPr>
              <w:pStyle w:val="null3"/>
            </w:pPr>
            <w:r>
              <w:rPr>
                <w:rFonts w:ascii="仿宋_GB2312" w:hAnsi="仿宋_GB2312" w:cs="仿宋_GB2312" w:eastAsia="仿宋_GB2312"/>
              </w:rPr>
              <w:t>项目组人员配备.docx 业绩.docx 中小企业声明函 商务应答表 报价表 供应商承诺书.docx 响应方案.docx 响应文件封面 产品技术参数表 残疾人福利性单位声明函 标的清单 供应商应提交的相关资格证明文件.docx 响应函 磋商报价一览表.docx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同时满足以下条款：（1）货币单位符合采购文件要求（2）报价符合唯一性要求（3）未超出采购预算或最高限价</w:t>
            </w:r>
          </w:p>
        </w:tc>
        <w:tc>
          <w:tcPr>
            <w:tcW w:type="dxa" w:w="1661"/>
          </w:tcPr>
          <w:p>
            <w:pPr>
              <w:pStyle w:val="null3"/>
            </w:pPr>
            <w:r>
              <w:rPr>
                <w:rFonts w:ascii="仿宋_GB2312" w:hAnsi="仿宋_GB2312" w:cs="仿宋_GB2312" w:eastAsia="仿宋_GB2312"/>
              </w:rPr>
              <w:t>标的清单 报价表 磋商报价一览表.docx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标的清单 报价表 磋商报价一览表.docx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符合“第三章 质量验收标准或规范”的要求</w:t>
            </w:r>
          </w:p>
        </w:tc>
        <w:tc>
          <w:tcPr>
            <w:tcW w:type="dxa" w:w="1661"/>
          </w:tcPr>
          <w:p>
            <w:pPr>
              <w:pStyle w:val="null3"/>
            </w:pPr>
            <w:r>
              <w:rPr>
                <w:rFonts w:ascii="仿宋_GB2312" w:hAnsi="仿宋_GB2312" w:cs="仿宋_GB2312" w:eastAsia="仿宋_GB2312"/>
              </w:rPr>
              <w:t>标的清单 报价表 磋商报价一览表.docx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实质性条款、合同条款响应</w:t>
            </w:r>
          </w:p>
        </w:tc>
        <w:tc>
          <w:tcPr>
            <w:tcW w:type="dxa" w:w="3322"/>
          </w:tcPr>
          <w:p>
            <w:pPr>
              <w:pStyle w:val="null3"/>
            </w:pPr>
            <w:r>
              <w:rPr>
                <w:rFonts w:ascii="仿宋_GB2312" w:hAnsi="仿宋_GB2312" w:cs="仿宋_GB2312" w:eastAsia="仿宋_GB2312"/>
              </w:rPr>
              <w:t>完全响应，不能有采购人不能接受的附加条件</w:t>
            </w:r>
          </w:p>
        </w:tc>
        <w:tc>
          <w:tcPr>
            <w:tcW w:type="dxa" w:w="1661"/>
          </w:tcPr>
          <w:p>
            <w:pPr>
              <w:pStyle w:val="null3"/>
            </w:pPr>
            <w:r>
              <w:rPr>
                <w:rFonts w:ascii="仿宋_GB2312" w:hAnsi="仿宋_GB2312" w:cs="仿宋_GB2312" w:eastAsia="仿宋_GB2312"/>
              </w:rPr>
              <w:t>产品技术参数表 中小企业声明函 商务应答表 标的清单 供应商应提交的相关资格证明文件.docx 报价表 响应函 供应商承诺书.docx 磋商报价一览表.docx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其他无效磋商的情形</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标的清单 报价表 供应商应提交的相关资格证明文件.docx 响应函 磋商报价一览表.docx 供应商承诺书.docx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投标产品技术参数需清楚、明确，有相应齐全的技术证明资料，完全满足招标要求的计 30 分，参数负偏离一项扣 3 分，扣完为止。 注：产品技术证明材料包括但不限于：产品相关技术资料、生产厂商确认盖章的技术参数、产品彩页、官网截图、相应型号的产品检测报告、著作权证书等技术条款证明文件。不满足或未提供不得分。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1.供应商提供产品运输、供货等配送方案措施，方案合理、具体、可行，完全满足项目需求得5分；方案较为详尽可行，基本满足项目需求得3分；不够详细全面，得1分；不满足或未提供不得分。 2.针对本项目提供具体可行的安装、验收服务方案及保证按期供货，安装、验收服务方案方案详细，可行性、针对性强及保证按期供货得5分；方案及说明较详细，可行性、针对性较强，基本保证按期供货得3分；不够详细全面，基本保证按期供货得1分；不满足或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产品渠道正常，供应商需提供主要产品来源渠道证明文件,（包括但不限于销售协议、代理协议、原厂授权等）复印件或扫描件并加盖公章，完全满足要求且资料齐全的得5分；部分满足或提供相关资料不全者得3分；未提供不得分。 2.项目实施过程中如何实施质量保证措施，保证措施方案科学、合理、可行的得5分；基本合理可行的得3分；合理性和可行性较差的得1分；不满足或未提供不得分。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响应产品的保修时间、保修期内的保修内容与范围、维修响应时间等（提供厂家或供应商的服务承诺和保障措施），售后服务站点分布，维修保障，承诺内容全面，方案可行性强得5分；承诺内容宽泛、较具体得3分；承诺内容不够具体，可行性差得1分；不满足或未提供不得分。 2.供应商针对本项目有详细可行的技术培训措施：培训计划完善，内容充实，安排合理，保证使用单位能熟练操作维护和正常使用，得5分；培训计划基本完善，内容较充实，安排基本合理，得3分；培训计划不完善，安排不合理，得1分；不满足或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项目组人员配备</w:t>
            </w:r>
          </w:p>
        </w:tc>
        <w:tc>
          <w:tcPr>
            <w:tcW w:type="dxa" w:w="2492"/>
          </w:tcPr>
          <w:p>
            <w:pPr>
              <w:pStyle w:val="null3"/>
            </w:pPr>
            <w:r>
              <w:rPr>
                <w:rFonts w:ascii="仿宋_GB2312" w:hAnsi="仿宋_GB2312" w:cs="仿宋_GB2312" w:eastAsia="仿宋_GB2312"/>
              </w:rPr>
              <w:t>项目组织机构健全，人员经验丰富、配备合理得5分；项目组织机构基本健全，人员经验较丰富、配备较合理得3分；项目组织机构不太健全，人员经验一般丰富、配备一般合理得1分；不满足或未提供不得分。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供应商提供近三年内（2023 年1月至今）类似项目业绩，每提供 1 份得 1 分，最多得 5 分,未提供不得分。 注：以中标通知书或合同为准（含报价明细）不满足或未提供不得分。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采用低价优先法计算，即满足磋商文件要求且最终报价最低的价格为磋商基准价，其价格分为满分。其他投标人的价格分统一按照下列公式计算： 磋商报价得分=（磋商基准价/最终磋商报价）×30超出预算的磋商报价在评审过程中按无效投标处理。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详见附件：磋商报价一览表.docx</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详见附件：响应方案.docx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详见附件：项目组人员配备.docx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