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3F70F1">
      <w:pPr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t>（本格式合同条款供双方签订合同参考，采购人可根据项目的实际情况增减条款和内容）</w:t>
      </w:r>
    </w:p>
    <w:p w14:paraId="360B77FE">
      <w:pPr>
        <w:pStyle w:val="4"/>
        <w:rPr>
          <w:rFonts w:hint="eastAsia" w:ascii="仿宋" w:hAnsi="仿宋" w:eastAsia="仿宋" w:cs="仿宋"/>
        </w:rPr>
      </w:pPr>
      <w:bookmarkStart w:id="6" w:name="_GoBack"/>
      <w:bookmarkEnd w:id="6"/>
    </w:p>
    <w:p w14:paraId="20AAE4DB">
      <w:pPr>
        <w:pStyle w:val="4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 </w:t>
      </w:r>
      <w:r>
        <w:rPr>
          <w:rFonts w:hint="eastAsia" w:ascii="仿宋" w:hAnsi="仿宋" w:eastAsia="仿宋" w:cs="仿宋"/>
        </w:rPr>
        <w:br w:type="textWrapping"/>
      </w:r>
      <w:r>
        <w:rPr>
          <w:rFonts w:hint="eastAsia" w:ascii="仿宋" w:hAnsi="仿宋" w:eastAsia="仿宋" w:cs="仿宋"/>
        </w:rPr>
        <w:br w:type="page"/>
      </w:r>
    </w:p>
    <w:p w14:paraId="0C8AA89E">
      <w:pPr>
        <w:spacing w:line="360" w:lineRule="auto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en-US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en-US"/>
        </w:rPr>
        <w:t xml:space="preserve">政府采购项目 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en-US"/>
        </w:rPr>
        <w:t xml:space="preserve">                                 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bdr w:val="single" w:color="auto" w:sz="4" w:space="0"/>
          <w:lang w:bidi="en-US"/>
        </w:rPr>
        <w:t>竞争性磋商</w:t>
      </w:r>
    </w:p>
    <w:p w14:paraId="2AEEF8CA">
      <w:pPr>
        <w:keepNext/>
        <w:keepLines/>
        <w:spacing w:after="120" w:line="360" w:lineRule="auto"/>
        <w:ind w:left="620" w:firstLine="1160" w:firstLineChars="200"/>
        <w:jc w:val="center"/>
        <w:outlineLvl w:val="0"/>
        <w:rPr>
          <w:rFonts w:hint="eastAsia" w:ascii="仿宋" w:hAnsi="仿宋" w:eastAsia="仿宋" w:cs="仿宋"/>
          <w:sz w:val="58"/>
          <w:szCs w:val="58"/>
          <w:lang w:bidi="en-US"/>
        </w:rPr>
      </w:pPr>
    </w:p>
    <w:p w14:paraId="4C1D413D">
      <w:pPr>
        <w:spacing w:line="360" w:lineRule="auto"/>
        <w:jc w:val="center"/>
        <w:outlineLvl w:val="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 w:bidi="zh-TW"/>
        </w:rPr>
        <w:t>2026年度秦岭生态环境保护警示片、专题片拍摄制作项目</w:t>
      </w:r>
    </w:p>
    <w:p w14:paraId="5B5CAD15">
      <w:pPr>
        <w:keepNext/>
        <w:keepLines/>
        <w:spacing w:after="120" w:line="360" w:lineRule="auto"/>
        <w:jc w:val="center"/>
        <w:outlineLvl w:val="0"/>
        <w:rPr>
          <w:rFonts w:hint="eastAsia" w:ascii="仿宋" w:hAnsi="仿宋" w:eastAsia="仿宋" w:cs="仿宋"/>
          <w:b/>
          <w:bCs/>
          <w:sz w:val="44"/>
          <w:szCs w:val="44"/>
          <w:lang w:val="zh-TW" w:eastAsia="zh-TW" w:bidi="zh-TW"/>
        </w:rPr>
      </w:pPr>
    </w:p>
    <w:p w14:paraId="41E474E1">
      <w:pPr>
        <w:keepNext/>
        <w:keepLines/>
        <w:spacing w:after="120" w:line="360" w:lineRule="auto"/>
        <w:jc w:val="center"/>
        <w:outlineLvl w:val="0"/>
        <w:rPr>
          <w:rFonts w:hint="eastAsia" w:ascii="仿宋" w:hAnsi="仿宋" w:eastAsia="仿宋" w:cs="仿宋"/>
          <w:b/>
          <w:bCs/>
          <w:color w:val="000000"/>
          <w:sz w:val="72"/>
          <w:szCs w:val="72"/>
          <w:lang w:val="zh-TW" w:eastAsia="zh-TW" w:bidi="zh-TW"/>
        </w:rPr>
      </w:pPr>
      <w:bookmarkStart w:id="0" w:name="_Toc14926"/>
      <w:r>
        <w:rPr>
          <w:rFonts w:hint="eastAsia" w:ascii="仿宋" w:hAnsi="仿宋" w:eastAsia="仿宋" w:cs="仿宋"/>
          <w:b/>
          <w:bCs/>
          <w:sz w:val="72"/>
          <w:szCs w:val="72"/>
          <w:lang w:val="zh-TW" w:eastAsia="zh-TW" w:bidi="zh-TW"/>
        </w:rPr>
        <w:t>服务合同</w:t>
      </w:r>
      <w:bookmarkEnd w:id="0"/>
    </w:p>
    <w:p w14:paraId="0DD7F0F2">
      <w:pPr>
        <w:spacing w:after="120" w:line="360" w:lineRule="auto"/>
        <w:jc w:val="center"/>
        <w:rPr>
          <w:rFonts w:hint="eastAsia" w:ascii="仿宋" w:hAnsi="仿宋" w:eastAsia="仿宋" w:cs="仿宋"/>
          <w:color w:val="000000"/>
          <w:sz w:val="28"/>
          <w:szCs w:val="28"/>
          <w:lang w:bidi="en-US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val="zh-TW" w:eastAsia="zh-TW" w:bidi="zh-TW"/>
        </w:rPr>
        <w:t>（编号：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 w:bidi="zh-TW"/>
        </w:rPr>
        <w:t>HYTF-202603006</w:t>
      </w:r>
      <w:r>
        <w:rPr>
          <w:rFonts w:hint="eastAsia" w:ascii="仿宋" w:hAnsi="仿宋" w:eastAsia="仿宋" w:cs="仿宋"/>
          <w:color w:val="000000"/>
          <w:sz w:val="28"/>
          <w:szCs w:val="28"/>
          <w:lang w:bidi="en-US"/>
        </w:rPr>
        <w:t>）</w:t>
      </w:r>
    </w:p>
    <w:p w14:paraId="76EAA2EF">
      <w:pPr>
        <w:spacing w:after="460" w:line="360" w:lineRule="auto"/>
        <w:ind w:left="1360" w:firstLine="20"/>
        <w:jc w:val="left"/>
        <w:rPr>
          <w:rFonts w:hint="eastAsia" w:ascii="仿宋" w:hAnsi="仿宋" w:eastAsia="仿宋" w:cs="仿宋"/>
          <w:color w:val="000000"/>
          <w:sz w:val="30"/>
          <w:szCs w:val="30"/>
          <w:lang w:val="zh-TW" w:eastAsia="zh-TW" w:bidi="zh-TW"/>
        </w:rPr>
      </w:pPr>
    </w:p>
    <w:p w14:paraId="7EAC2583">
      <w:pPr>
        <w:spacing w:after="460" w:line="360" w:lineRule="auto"/>
        <w:ind w:left="1360" w:firstLine="20"/>
        <w:jc w:val="left"/>
        <w:rPr>
          <w:rFonts w:hint="eastAsia" w:ascii="仿宋" w:hAnsi="仿宋" w:eastAsia="仿宋" w:cs="仿宋"/>
          <w:color w:val="000000"/>
          <w:sz w:val="30"/>
          <w:szCs w:val="30"/>
          <w:lang w:val="zh-TW" w:eastAsia="zh-TW" w:bidi="zh-TW"/>
        </w:rPr>
      </w:pPr>
    </w:p>
    <w:p w14:paraId="585D754F">
      <w:pPr>
        <w:spacing w:after="460" w:line="360" w:lineRule="auto"/>
        <w:ind w:left="1360" w:firstLine="20"/>
        <w:jc w:val="left"/>
        <w:rPr>
          <w:rFonts w:hint="eastAsia" w:ascii="仿宋" w:hAnsi="仿宋" w:eastAsia="仿宋" w:cs="仿宋"/>
          <w:color w:val="000000"/>
          <w:sz w:val="30"/>
          <w:szCs w:val="30"/>
          <w:lang w:val="zh-TW" w:eastAsia="zh-TW" w:bidi="zh-TW"/>
        </w:rPr>
      </w:pPr>
    </w:p>
    <w:p w14:paraId="01271E6D">
      <w:pPr>
        <w:spacing w:after="480" w:line="360" w:lineRule="auto"/>
        <w:ind w:left="200" w:firstLine="621" w:firstLineChars="207"/>
        <w:jc w:val="left"/>
        <w:rPr>
          <w:rFonts w:hint="eastAsia" w:ascii="仿宋" w:hAnsi="仿宋" w:eastAsia="仿宋" w:cs="仿宋"/>
          <w:sz w:val="30"/>
          <w:szCs w:val="30"/>
          <w:lang w:bidi="zh-TW"/>
        </w:rPr>
      </w:pPr>
      <w:bookmarkStart w:id="1" w:name="bookmark4"/>
      <w:bookmarkStart w:id="2" w:name="bookmark3"/>
      <w:bookmarkStart w:id="3" w:name="bookmark5"/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甲方：</w:t>
      </w:r>
      <w:r>
        <w:rPr>
          <w:rFonts w:hint="eastAsia" w:ascii="仿宋" w:hAnsi="仿宋" w:eastAsia="仿宋" w:cs="仿宋"/>
          <w:sz w:val="30"/>
          <w:szCs w:val="30"/>
          <w:lang w:bidi="zh-TW"/>
        </w:rPr>
        <w:t>西安市秦岭生态环境保护管理局</w:t>
      </w:r>
    </w:p>
    <w:p w14:paraId="38E99470">
      <w:pPr>
        <w:spacing w:after="480" w:line="360" w:lineRule="auto"/>
        <w:ind w:left="200" w:firstLine="621" w:firstLineChars="207"/>
        <w:jc w:val="left"/>
        <w:rPr>
          <w:rFonts w:hint="eastAsia" w:ascii="仿宋" w:hAnsi="仿宋" w:eastAsia="仿宋" w:cs="仿宋"/>
          <w:sz w:val="30"/>
          <w:szCs w:val="30"/>
          <w:u w:val="single"/>
          <w:lang w:val="en-US" w:eastAsia="zh-CN" w:bidi="zh-TW"/>
        </w:rPr>
      </w:pP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乙方:</w:t>
      </w:r>
      <w:r>
        <w:rPr>
          <w:rFonts w:hint="eastAsia" w:ascii="仿宋" w:hAnsi="仿宋" w:eastAsia="仿宋" w:cs="仿宋"/>
          <w:sz w:val="30"/>
          <w:szCs w:val="30"/>
          <w:lang w:val="en-US" w:eastAsia="zh-CN" w:bidi="zh-TW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 w:bidi="zh-TW"/>
        </w:rPr>
        <w:t xml:space="preserve">                         </w:t>
      </w:r>
    </w:p>
    <w:p w14:paraId="7471ED09">
      <w:pPr>
        <w:spacing w:after="480" w:line="360" w:lineRule="auto"/>
        <w:ind w:left="200" w:firstLine="3015" w:firstLineChars="1005"/>
        <w:jc w:val="left"/>
        <w:rPr>
          <w:rFonts w:hint="eastAsia" w:ascii="仿宋" w:hAnsi="仿宋" w:eastAsia="仿宋" w:cs="仿宋"/>
          <w:sz w:val="30"/>
          <w:szCs w:val="30"/>
          <w:lang w:val="zh-TW" w:eastAsia="zh-TW" w:bidi="zh-TW"/>
        </w:rPr>
      </w:pPr>
      <w:r>
        <w:rPr>
          <w:rFonts w:hint="eastAsia" w:ascii="仿宋" w:hAnsi="仿宋" w:eastAsia="仿宋" w:cs="仿宋"/>
          <w:sz w:val="30"/>
          <w:szCs w:val="30"/>
          <w:lang w:bidi="en-US"/>
        </w:rPr>
        <w:t>202</w:t>
      </w:r>
      <w:r>
        <w:rPr>
          <w:rFonts w:hint="eastAsia" w:ascii="仿宋" w:hAnsi="仿宋" w:eastAsia="仿宋" w:cs="仿宋"/>
          <w:sz w:val="30"/>
          <w:szCs w:val="30"/>
          <w:lang w:val="en-US" w:eastAsia="zh-CN" w:bidi="en-US"/>
        </w:rPr>
        <w:t>6</w:t>
      </w: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年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 w:bidi="zh-TW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 xml:space="preserve">月 </w:t>
      </w:r>
    </w:p>
    <w:p w14:paraId="1C377816">
      <w:pPr>
        <w:spacing w:line="360" w:lineRule="auto"/>
        <w:ind w:left="1571" w:leftChars="748" w:firstLine="1776" w:firstLineChars="592"/>
        <w:jc w:val="left"/>
        <w:rPr>
          <w:rFonts w:hint="eastAsia" w:ascii="仿宋" w:hAnsi="仿宋" w:eastAsia="仿宋" w:cs="仿宋"/>
          <w:sz w:val="30"/>
          <w:szCs w:val="30"/>
          <w:lang w:val="zh-TW" w:eastAsia="zh-TW" w:bidi="zh-TW"/>
        </w:rPr>
      </w:pP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中国</w:t>
      </w:r>
      <w:r>
        <w:rPr>
          <w:rFonts w:hint="eastAsia" w:ascii="仿宋" w:hAnsi="仿宋" w:eastAsia="仿宋" w:cs="仿宋"/>
          <w:sz w:val="30"/>
          <w:szCs w:val="30"/>
          <w:lang w:val="en-US" w:eastAsia="zh-CN" w:bidi="zh-TW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西安</w:t>
      </w:r>
    </w:p>
    <w:p w14:paraId="02BF01A7">
      <w:pPr>
        <w:spacing w:line="360" w:lineRule="auto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bidi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bidi="en-US"/>
        </w:rPr>
        <w:br w:type="page"/>
      </w:r>
    </w:p>
    <w:bookmarkEnd w:id="1"/>
    <w:bookmarkEnd w:id="2"/>
    <w:bookmarkEnd w:id="3"/>
    <w:p w14:paraId="3588A986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甲方（采购人名称全称）：</w:t>
      </w:r>
      <w:r>
        <w:rPr>
          <w:rFonts w:hint="eastAsia" w:ascii="仿宋" w:hAnsi="仿宋" w:eastAsia="仿宋" w:cs="仿宋"/>
          <w:sz w:val="24"/>
          <w:lang w:bidi="zh-TW"/>
        </w:rPr>
        <w:t>西安市秦岭生态环境保护管理局</w:t>
      </w:r>
    </w:p>
    <w:p w14:paraId="004D2BC0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u w:val="single"/>
          <w:lang w:val="en-US" w:eastAsia="zh-CN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乙方（供应商名称全称）：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                        </w:t>
      </w:r>
    </w:p>
    <w:p w14:paraId="32AC3481">
      <w:pPr>
        <w:spacing w:line="360" w:lineRule="auto"/>
        <w:outlineLvl w:val="2"/>
        <w:rPr>
          <w:rFonts w:hint="eastAsia" w:ascii="仿宋" w:hAnsi="仿宋" w:eastAsia="仿宋" w:cs="仿宋"/>
          <w:sz w:val="24"/>
          <w:lang w:val="zh-TW" w:bidi="zh-TW"/>
        </w:rPr>
      </w:pPr>
      <w:r>
        <w:rPr>
          <w:rFonts w:hint="eastAsia" w:ascii="仿宋" w:hAnsi="仿宋" w:eastAsia="仿宋" w:cs="仿宋"/>
          <w:sz w:val="24"/>
          <w:lang w:val="en-US" w:eastAsia="zh-CN" w:bidi="zh-TW"/>
        </w:rPr>
        <w:t xml:space="preserve">    2026年度秦岭生态环境保护警示片、专题片拍摄制作项目，</w:t>
      </w:r>
      <w:r>
        <w:rPr>
          <w:rFonts w:hint="eastAsia" w:ascii="仿宋" w:hAnsi="仿宋" w:eastAsia="仿宋" w:cs="仿宋"/>
          <w:sz w:val="24"/>
          <w:lang w:bidi="zh-TW"/>
        </w:rPr>
        <w:t>项目编号：</w:t>
      </w:r>
      <w:r>
        <w:rPr>
          <w:rFonts w:hint="eastAsia" w:ascii="仿宋" w:hAnsi="仿宋" w:eastAsia="仿宋" w:cs="仿宋"/>
          <w:sz w:val="24"/>
          <w:lang w:val="en-US" w:eastAsia="zh-CN" w:bidi="zh-TW"/>
        </w:rPr>
        <w:t>HYTF-202603006</w:t>
      </w:r>
      <w:r>
        <w:rPr>
          <w:rFonts w:hint="eastAsia" w:ascii="仿宋" w:hAnsi="仿宋" w:eastAsia="仿宋" w:cs="仿宋"/>
          <w:sz w:val="24"/>
          <w:lang w:bidi="zh-TW"/>
        </w:rPr>
        <w:t>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在</w:t>
      </w:r>
      <w:r>
        <w:rPr>
          <w:rFonts w:hint="eastAsia" w:ascii="仿宋" w:hAnsi="仿宋" w:eastAsia="仿宋" w:cs="仿宋"/>
          <w:sz w:val="24"/>
          <w:lang w:bidi="zh-TW"/>
        </w:rPr>
        <w:t>西安市</w:t>
      </w:r>
      <w:r>
        <w:rPr>
          <w:rFonts w:hint="eastAsia" w:ascii="仿宋" w:hAnsi="仿宋" w:eastAsia="仿宋" w:cs="仿宋"/>
          <w:kern w:val="0"/>
          <w:sz w:val="24"/>
        </w:rPr>
        <w:t>财政局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的监督管理下</w:t>
      </w:r>
      <w:r>
        <w:rPr>
          <w:rFonts w:hint="eastAsia" w:ascii="仿宋" w:hAnsi="仿宋" w:eastAsia="仿宋" w:cs="仿宋"/>
          <w:sz w:val="24"/>
          <w:lang w:val="zh-TW" w:bidi="zh-TW"/>
        </w:rPr>
        <w:t>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按照</w:t>
      </w:r>
      <w:r>
        <w:rPr>
          <w:rFonts w:hint="eastAsia" w:ascii="仿宋" w:hAnsi="仿宋" w:eastAsia="仿宋" w:cs="仿宋"/>
          <w:sz w:val="24"/>
          <w:lang w:bidi="zh-TW"/>
        </w:rPr>
        <w:t>政府采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购程序组织竞争性磋商</w:t>
      </w:r>
      <w:r>
        <w:rPr>
          <w:rFonts w:hint="eastAsia" w:ascii="仿宋" w:hAnsi="仿宋" w:eastAsia="仿宋" w:cs="仿宋"/>
          <w:sz w:val="24"/>
          <w:lang w:val="zh-TW" w:bidi="zh-TW"/>
        </w:rPr>
        <w:t>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确定乙方</w:t>
      </w:r>
      <w:r>
        <w:rPr>
          <w:rFonts w:hint="eastAsia" w:ascii="仿宋" w:hAnsi="仿宋" w:eastAsia="仿宋" w:cs="仿宋"/>
          <w:sz w:val="24"/>
          <w:lang w:bidi="zh-TW"/>
        </w:rPr>
        <w:t>为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成交供应商。依据</w:t>
      </w:r>
      <w:r>
        <w:rPr>
          <w:rFonts w:hint="eastAsia" w:ascii="仿宋" w:hAnsi="仿宋" w:eastAsia="仿宋" w:cs="仿宋"/>
          <w:sz w:val="24"/>
          <w:lang w:bidi="zh-TW"/>
        </w:rPr>
        <w:t>《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中华人民共和国政府</w:t>
      </w:r>
      <w:r>
        <w:rPr>
          <w:rFonts w:hint="eastAsia" w:ascii="仿宋" w:hAnsi="仿宋" w:eastAsia="仿宋" w:cs="仿宋"/>
          <w:sz w:val="24"/>
          <w:lang w:bidi="zh-TW"/>
        </w:rPr>
        <w:t>采购法》、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《</w:t>
      </w:r>
      <w:r>
        <w:rPr>
          <w:rFonts w:hint="eastAsia" w:ascii="仿宋" w:hAnsi="仿宋" w:eastAsia="仿宋" w:cs="仿宋"/>
          <w:sz w:val="24"/>
          <w:lang w:bidi="zh-TW"/>
        </w:rPr>
        <w:t>中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华人民共和国民法典》以及竞争性</w:t>
      </w:r>
      <w:r>
        <w:rPr>
          <w:rFonts w:hint="eastAsia" w:ascii="仿宋" w:hAnsi="仿宋" w:eastAsia="仿宋" w:cs="仿宋"/>
          <w:sz w:val="24"/>
          <w:lang w:bidi="zh-TW"/>
        </w:rPr>
        <w:t>磋商文件、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成交通知书，经甲、乙双方协商，达成如下合同条款</w:t>
      </w:r>
      <w:r>
        <w:rPr>
          <w:rFonts w:hint="eastAsia" w:ascii="仿宋" w:hAnsi="仿宋" w:eastAsia="仿宋" w:cs="仿宋"/>
          <w:sz w:val="24"/>
          <w:lang w:val="zh-TW" w:bidi="zh-TW"/>
        </w:rPr>
        <w:t>。</w:t>
      </w:r>
    </w:p>
    <w:p w14:paraId="0FC14C64">
      <w:pPr>
        <w:spacing w:after="100"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val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一、合同标的物内容及数量（以响应文件正本和澄清表〈函〉为准）</w:t>
      </w:r>
    </w:p>
    <w:tbl>
      <w:tblPr>
        <w:tblStyle w:val="2"/>
        <w:tblW w:w="88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30"/>
        <w:gridCol w:w="1266"/>
        <w:gridCol w:w="1266"/>
        <w:gridCol w:w="1266"/>
        <w:gridCol w:w="1266"/>
        <w:gridCol w:w="915"/>
        <w:gridCol w:w="1053"/>
        <w:gridCol w:w="1053"/>
      </w:tblGrid>
      <w:tr w14:paraId="00E21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73" w:hRule="exact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01CC6E6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序号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0CCF54C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服务名称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7130D1C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服务内容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2BE731E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计量单位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2CA1F0B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服务时间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E33CD1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数量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608B33C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单价</w:t>
            </w:r>
          </w:p>
          <w:p w14:paraId="2E72B23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（元）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10452D8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bidi="zh-TW"/>
              </w:rPr>
            </w:pPr>
            <w:r>
              <w:rPr>
                <w:rFonts w:hint="eastAsia" w:ascii="仿宋" w:hAnsi="仿宋" w:eastAsia="仿宋" w:cs="仿宋"/>
                <w:sz w:val="24"/>
                <w:lang w:bidi="zh-TW"/>
              </w:rPr>
              <w:t>总价</w:t>
            </w:r>
          </w:p>
          <w:p w14:paraId="5C21420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bidi="zh-TW"/>
              </w:rPr>
            </w:pPr>
            <w:r>
              <w:rPr>
                <w:rFonts w:hint="eastAsia" w:ascii="仿宋" w:hAnsi="仿宋" w:eastAsia="仿宋" w:cs="仿宋"/>
                <w:sz w:val="24"/>
                <w:lang w:bidi="zh-TW"/>
              </w:rPr>
              <w:t>（元）</w:t>
            </w:r>
          </w:p>
        </w:tc>
      </w:tr>
      <w:tr w14:paraId="57F3D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7" w:hRule="exact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02C7CA5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1</w:t>
            </w:r>
          </w:p>
        </w:tc>
        <w:tc>
          <w:tcPr>
            <w:tcW w:w="1266" w:type="dxa"/>
            <w:shd w:val="clear" w:color="auto" w:fill="auto"/>
          </w:tcPr>
          <w:p w14:paraId="24C6C71E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2CFC0FDB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0C67FF79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3673D9B6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67E0A507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5E4881F1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4599EC0E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77CF1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7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3AFF293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2</w:t>
            </w:r>
          </w:p>
        </w:tc>
        <w:tc>
          <w:tcPr>
            <w:tcW w:w="1266" w:type="dxa"/>
            <w:shd w:val="clear" w:color="auto" w:fill="auto"/>
          </w:tcPr>
          <w:p w14:paraId="4E8D03C5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7B65BB5F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1CDC96DA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68BF06F8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5DAF9EC6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253474BB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1118A1B1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09228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7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4C87795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3</w:t>
            </w:r>
          </w:p>
        </w:tc>
        <w:tc>
          <w:tcPr>
            <w:tcW w:w="1266" w:type="dxa"/>
            <w:shd w:val="clear" w:color="auto" w:fill="auto"/>
          </w:tcPr>
          <w:p w14:paraId="21D8DFBE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05A3E8B3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497442AA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0EC5E571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1CA8B126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41363C81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29AE7162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63379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7" w:hRule="exact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AF13F5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4</w:t>
            </w:r>
          </w:p>
        </w:tc>
        <w:tc>
          <w:tcPr>
            <w:tcW w:w="1266" w:type="dxa"/>
            <w:shd w:val="clear" w:color="auto" w:fill="auto"/>
          </w:tcPr>
          <w:p w14:paraId="37B7A02A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4C4025FB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32D18973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0B31809D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3F6580ED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3C3AEAD5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62CA1BCD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5BFE9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5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03FC731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5</w:t>
            </w:r>
          </w:p>
        </w:tc>
        <w:tc>
          <w:tcPr>
            <w:tcW w:w="1266" w:type="dxa"/>
            <w:shd w:val="clear" w:color="auto" w:fill="auto"/>
          </w:tcPr>
          <w:p w14:paraId="6E9B0B6A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13F0FFBF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2C3B92B2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7F469885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0C88FA30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72592DDC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21334180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4E880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7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09C9258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6</w:t>
            </w:r>
          </w:p>
        </w:tc>
        <w:tc>
          <w:tcPr>
            <w:tcW w:w="1266" w:type="dxa"/>
            <w:shd w:val="clear" w:color="auto" w:fill="auto"/>
          </w:tcPr>
          <w:p w14:paraId="7A08BAA4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75BDCF22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0673E9B9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55242AFA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0327A581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12B1FCB8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5111C8DB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5A923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7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5BF2715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7</w:t>
            </w:r>
          </w:p>
        </w:tc>
        <w:tc>
          <w:tcPr>
            <w:tcW w:w="1266" w:type="dxa"/>
            <w:shd w:val="clear" w:color="auto" w:fill="auto"/>
          </w:tcPr>
          <w:p w14:paraId="6457AEF8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4C7345E7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01E79821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0D966A3C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6BC9CA73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3D9BA45B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370E36CF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5D93C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5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1334FC1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bidi="zh-TW"/>
              </w:rPr>
            </w:pPr>
            <w:r>
              <w:rPr>
                <w:rFonts w:hint="eastAsia" w:ascii="仿宋" w:hAnsi="仿宋" w:eastAsia="仿宋" w:cs="仿宋"/>
                <w:sz w:val="24"/>
                <w:lang w:bidi="zh-TW"/>
              </w:rPr>
              <w:t>...</w:t>
            </w:r>
          </w:p>
        </w:tc>
        <w:tc>
          <w:tcPr>
            <w:tcW w:w="1266" w:type="dxa"/>
            <w:shd w:val="clear" w:color="auto" w:fill="auto"/>
          </w:tcPr>
          <w:p w14:paraId="16F114FF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2584AF26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6E9FD3A3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4C86857E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7D2D10D0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15DEC9B4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65EB1D2E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1CCE7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7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5C260E2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bidi="zh-TW"/>
              </w:rPr>
              <w:t>N</w:t>
            </w:r>
          </w:p>
        </w:tc>
        <w:tc>
          <w:tcPr>
            <w:tcW w:w="1266" w:type="dxa"/>
            <w:shd w:val="clear" w:color="auto" w:fill="auto"/>
          </w:tcPr>
          <w:p w14:paraId="5511013C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43842B62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2FBA7EC7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5B98EDC2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64A6546E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705B6BD2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331EB935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44AA6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7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05660BA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合计</w:t>
            </w:r>
          </w:p>
        </w:tc>
        <w:tc>
          <w:tcPr>
            <w:tcW w:w="8085" w:type="dxa"/>
            <w:gridSpan w:val="7"/>
            <w:shd w:val="clear" w:color="auto" w:fill="auto"/>
          </w:tcPr>
          <w:p w14:paraId="56ACE215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0E961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5" w:hRule="exact"/>
          <w:jc w:val="center"/>
        </w:trPr>
        <w:tc>
          <w:tcPr>
            <w:tcW w:w="730" w:type="dxa"/>
            <w:shd w:val="clear" w:color="auto" w:fill="auto"/>
          </w:tcPr>
          <w:p w14:paraId="258078F6">
            <w:pPr>
              <w:spacing w:before="120"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备注</w:t>
            </w:r>
          </w:p>
        </w:tc>
        <w:tc>
          <w:tcPr>
            <w:tcW w:w="8085" w:type="dxa"/>
            <w:gridSpan w:val="7"/>
            <w:shd w:val="clear" w:color="auto" w:fill="auto"/>
          </w:tcPr>
          <w:p w14:paraId="2DDB1960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</w:tbl>
    <w:p w14:paraId="4EB44065">
      <w:p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（上表仅供参考,应根据项目具体内容修改填写，详细服务内容及明细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标准可附附件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或详见响应文件，需说明清楚）</w:t>
      </w:r>
    </w:p>
    <w:p w14:paraId="65B63BEB">
      <w:pPr>
        <w:spacing w:after="80" w:line="360" w:lineRule="auto"/>
        <w:ind w:firstLine="482" w:firstLineChars="200"/>
        <w:jc w:val="left"/>
        <w:rPr>
          <w:rFonts w:hint="eastAsia" w:ascii="仿宋" w:hAnsi="仿宋" w:eastAsia="仿宋" w:cs="仿宋"/>
          <w:sz w:val="24"/>
          <w:lang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二、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服务条件及内容要求</w:t>
      </w:r>
    </w:p>
    <w:p w14:paraId="5780AB81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服务期限：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                </w:t>
      </w:r>
    </w:p>
    <w:p w14:paraId="2EFCF710">
      <w:pPr>
        <w:tabs>
          <w:tab w:val="left" w:pos="6015"/>
          <w:tab w:val="left" w:pos="7407"/>
        </w:tabs>
        <w:spacing w:line="360" w:lineRule="auto"/>
        <w:ind w:firstLine="240" w:firstLineChars="10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（二）服务内容：详见</w:t>
      </w:r>
      <w:r>
        <w:rPr>
          <w:rFonts w:hint="eastAsia" w:ascii="仿宋" w:hAnsi="仿宋" w:eastAsia="仿宋" w:cs="仿宋"/>
          <w:sz w:val="24"/>
        </w:rPr>
        <w:t>采购内容及需求</w:t>
      </w:r>
      <w:r>
        <w:rPr>
          <w:rFonts w:hint="eastAsia" w:ascii="仿宋" w:hAnsi="仿宋" w:eastAsia="仿宋" w:cs="仿宋"/>
          <w:sz w:val="24"/>
          <w:lang w:bidi="zh-TW"/>
        </w:rPr>
        <w:t>。</w:t>
      </w:r>
    </w:p>
    <w:p w14:paraId="2795DC02">
      <w:pPr>
        <w:spacing w:line="360" w:lineRule="auto"/>
        <w:ind w:firstLine="241" w:firstLineChars="100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三、合同价款</w:t>
      </w:r>
    </w:p>
    <w:p w14:paraId="206AE062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（一）合同价款：（大写）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        </w:t>
      </w:r>
      <w:r>
        <w:rPr>
          <w:rFonts w:hint="eastAsia" w:ascii="仿宋" w:hAnsi="仿宋" w:eastAsia="仿宋" w:cs="仿宋"/>
          <w:sz w:val="24"/>
          <w:lang w:bidi="zh-TW"/>
        </w:rPr>
        <w:t xml:space="preserve"> ，小写（￥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          </w:t>
      </w:r>
      <w:r>
        <w:rPr>
          <w:rFonts w:hint="eastAsia" w:ascii="仿宋" w:hAnsi="仿宋" w:eastAsia="仿宋" w:cs="仿宋"/>
          <w:sz w:val="24"/>
          <w:lang w:bidi="zh-TW"/>
        </w:rPr>
        <w:t>元）。</w:t>
      </w:r>
    </w:p>
    <w:p w14:paraId="71BAF779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（二）合同总价包括：为完成合同全部服务内容可能发生的全部费用，同时还包含为完成本项目所需的一切成本、利润、税金和服务期内的全部风险。</w:t>
      </w:r>
    </w:p>
    <w:p w14:paraId="273A3AFD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（三）合同总价不受市场价格变化因素的影响，一次性包死。</w:t>
      </w:r>
    </w:p>
    <w:p w14:paraId="0963A5F2">
      <w:pPr>
        <w:tabs>
          <w:tab w:val="left" w:pos="6015"/>
          <w:tab w:val="left" w:pos="7407"/>
        </w:tabs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四、款项结算</w:t>
      </w:r>
    </w:p>
    <w:p w14:paraId="09CC4238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zh-TW" w:eastAsia="zh-TW"/>
        </w:rPr>
      </w:pPr>
      <w:r>
        <w:rPr>
          <w:rFonts w:hint="eastAsia" w:ascii="仿宋" w:hAnsi="仿宋" w:eastAsia="仿宋" w:cs="仿宋"/>
          <w:sz w:val="24"/>
          <w:szCs w:val="24"/>
          <w:lang w:val="zh-TW"/>
        </w:rPr>
        <w:t>（</w:t>
      </w:r>
      <w:r>
        <w:rPr>
          <w:rFonts w:hint="eastAsia" w:ascii="仿宋" w:hAnsi="仿宋" w:eastAsia="仿宋" w:cs="仿宋"/>
          <w:sz w:val="24"/>
          <w:szCs w:val="24"/>
        </w:rPr>
        <w:t>一</w:t>
      </w:r>
      <w:r>
        <w:rPr>
          <w:rFonts w:hint="eastAsia" w:ascii="仿宋" w:hAnsi="仿宋" w:eastAsia="仿宋" w:cs="仿宋"/>
          <w:sz w:val="24"/>
          <w:szCs w:val="24"/>
          <w:lang w:val="zh-TW"/>
        </w:rPr>
        <w:t>）</w:t>
      </w:r>
      <w:r>
        <w:rPr>
          <w:rFonts w:hint="eastAsia" w:ascii="仿宋" w:hAnsi="仿宋" w:eastAsia="仿宋" w:cs="仿宋"/>
          <w:sz w:val="24"/>
          <w:szCs w:val="24"/>
          <w:lang w:val="zh-TW" w:eastAsia="zh-TW"/>
        </w:rPr>
        <w:t>合同款的支付：</w:t>
      </w:r>
    </w:p>
    <w:p w14:paraId="0E7C1C1D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1）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合同签订生效后，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采购人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于当年6月30日前支付进度款</w:t>
      </w:r>
      <w:r>
        <w:rPr>
          <w:rFonts w:hint="eastAsia" w:ascii="仿宋" w:hAnsi="仿宋" w:eastAsia="仿宋" w:cs="仿宋"/>
          <w:sz w:val="24"/>
          <w:szCs w:val="24"/>
        </w:rPr>
        <w:t>，达到付款条件起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</w:rPr>
        <w:t>0日内，支付合同总金额的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</w:rPr>
        <w:t>0.00%。</w:t>
      </w:r>
    </w:p>
    <w:p w14:paraId="4C34F8D9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2）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年底验收合格后，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采购人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支付合同尾款</w:t>
      </w:r>
      <w:r>
        <w:rPr>
          <w:rFonts w:hint="eastAsia" w:ascii="仿宋" w:hAnsi="仿宋" w:eastAsia="仿宋" w:cs="仿宋"/>
          <w:sz w:val="24"/>
          <w:szCs w:val="24"/>
        </w:rPr>
        <w:t>，达到付款条件起 30日内，支付合同总金额的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</w:rPr>
        <w:t>0.00%。</w:t>
      </w:r>
    </w:p>
    <w:p w14:paraId="70644E3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szCs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szCs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szCs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szCs w:val="24"/>
          <w:lang w:bidi="zh-TW"/>
        </w:rPr>
        <w:t>支付</w:t>
      </w:r>
      <w:r>
        <w:rPr>
          <w:rFonts w:hint="eastAsia" w:ascii="仿宋" w:hAnsi="仿宋" w:eastAsia="仿宋" w:cs="仿宋"/>
          <w:sz w:val="24"/>
          <w:szCs w:val="24"/>
          <w:lang w:val="zh-TW" w:eastAsia="zh-TW" w:bidi="zh-TW"/>
        </w:rPr>
        <w:t>方式：银行转账。</w:t>
      </w:r>
    </w:p>
    <w:p w14:paraId="56406B5F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szCs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szCs w:val="24"/>
          <w:lang w:bidi="zh-TW"/>
        </w:rPr>
        <w:t>三</w:t>
      </w:r>
      <w:r>
        <w:rPr>
          <w:rFonts w:hint="eastAsia" w:ascii="仿宋" w:hAnsi="仿宋" w:eastAsia="仿宋" w:cs="仿宋"/>
          <w:sz w:val="24"/>
          <w:szCs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szCs w:val="24"/>
          <w:lang w:bidi="zh-TW"/>
        </w:rPr>
        <w:t>结算方式：付款前乙方应向甲</w:t>
      </w:r>
      <w:r>
        <w:rPr>
          <w:rFonts w:hint="eastAsia" w:ascii="仿宋" w:hAnsi="仿宋" w:eastAsia="仿宋" w:cs="仿宋"/>
          <w:sz w:val="24"/>
          <w:lang w:bidi="zh-TW"/>
        </w:rPr>
        <w:t>方提供合法有效的发票。乙方持成交通知书、服务合同、发票，与甲方结算。</w:t>
      </w:r>
    </w:p>
    <w:p w14:paraId="25480532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五、双方的权利和义务</w:t>
      </w:r>
    </w:p>
    <w:p w14:paraId="71BF8B7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甲方的权利和义务</w:t>
      </w:r>
    </w:p>
    <w:p w14:paraId="3172896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1、甲方有权对合同规定范围内乙方的服务行为进行监督和检查，拥有监管权。有权定期核对乙方提供服务所配备的人员数量。对甲方认为不合理的部分有权下达整改通知书，并要求乙方限期整改。</w:t>
      </w:r>
    </w:p>
    <w:p w14:paraId="6C712C5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2、负责检查监督乙方管理工作的实施及制度的执行情况。</w:t>
      </w:r>
    </w:p>
    <w:p w14:paraId="071A1EE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3、根据本合同规定，按时向乙方支付应付服务费用。</w:t>
      </w:r>
    </w:p>
    <w:p w14:paraId="2D57EEE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4、国家法律、法规所规定由甲方承担的其它责任。</w:t>
      </w:r>
    </w:p>
    <w:p w14:paraId="5149745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（二）乙方的权利和义务</w:t>
      </w:r>
    </w:p>
    <w:p w14:paraId="78B7BE5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1、对本合同规定的委托服务范围内的项目享有管理权及服务义务。</w:t>
      </w:r>
    </w:p>
    <w:p w14:paraId="5CAFD3A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2、根据本合同的规定向甲方收取相关服务费用，并有权在本项目管理范围内管理及合理使用。</w:t>
      </w:r>
    </w:p>
    <w:p w14:paraId="206DB95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3、及时向甲方通告本项目服务范围内有关服务的重大事项，及时配合处理投诉。</w:t>
      </w:r>
    </w:p>
    <w:p w14:paraId="7D02AE7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4、在服务过程中接受项目行业管理部门及政府有关部门的指导，接受甲方的监督。</w:t>
      </w:r>
    </w:p>
    <w:p w14:paraId="47E6678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5、国家法律、法规所规定由乙方承担的其它责任。</w:t>
      </w:r>
    </w:p>
    <w:p w14:paraId="0A222D8A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6、乙方应按国家技术规范、标准、规程和甲方的需求展开工作。</w:t>
      </w:r>
    </w:p>
    <w:p w14:paraId="7493C5C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7、乙方在进行服务过程中，需遵守甲方的规章制度，接受甲方的安排与协调。</w:t>
      </w:r>
    </w:p>
    <w:p w14:paraId="4598442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8、如因乙方原因导致服务工作无法开展，乙方应承担相应的责任，并采取积极的补救措施。</w:t>
      </w:r>
    </w:p>
    <w:p w14:paraId="64F59E3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9、在服务工作开展过程中，如出现意外事故，由乙方自行承担。</w:t>
      </w:r>
    </w:p>
    <w:p w14:paraId="4DE000DF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六、质量保证</w:t>
      </w:r>
    </w:p>
    <w:p w14:paraId="167D7EB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乙方所供服务必须执行下列条款：</w:t>
      </w:r>
    </w:p>
    <w:p w14:paraId="37DE29EA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（一）服务方案和方式科学、可行，人员配置合理，全面满足要求。</w:t>
      </w:r>
    </w:p>
    <w:p w14:paraId="68FB350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（二）符合国家有关服务规范要求，确保各项服务达到最佳运行效果。</w:t>
      </w:r>
    </w:p>
    <w:p w14:paraId="6680AA3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（三）乙方提供的服务，若发生侵权而产生的一切后果，由乙方负责。甲方保留索赔权。</w:t>
      </w:r>
    </w:p>
    <w:p w14:paraId="6BBF0F2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（四）服务承诺内容：以响应文件承诺为准。</w:t>
      </w:r>
    </w:p>
    <w:p w14:paraId="0D350934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七、验收</w:t>
      </w:r>
    </w:p>
    <w:p w14:paraId="6746A15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（一）服务内容完成后先由乙方进行自检，自检合格后邀请甲方进行验收。甲方确认乙方的自检内容后，组织乙方进行最终验收，验收时乙方应派人员参加，共同对验收结果进行确认，并承担相关责任。</w:t>
      </w:r>
    </w:p>
    <w:p w14:paraId="5D91F7C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 xml:space="preserve">（二）乙方向甲方提交服务实施过程中的所有资料。以便甲方日后管理。 </w:t>
      </w:r>
    </w:p>
    <w:p w14:paraId="0CAD52E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（三）验收依据：</w:t>
      </w:r>
    </w:p>
    <w:p w14:paraId="6619594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1、竞争性磋商文件、响应文件、澄清表（函）；</w:t>
      </w:r>
    </w:p>
    <w:p w14:paraId="7202512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 xml:space="preserve">2、本合同及附件文本； </w:t>
      </w:r>
    </w:p>
    <w:p w14:paraId="37C3CED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3、国家相应的标准、规范。</w:t>
      </w:r>
    </w:p>
    <w:p w14:paraId="77A152BB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八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、违约责任</w:t>
      </w:r>
    </w:p>
    <w:p w14:paraId="3B3E0969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合同中未约定的，按《民法典》中的相关条款执行。</w:t>
      </w:r>
      <w:bookmarkStart w:id="4" w:name="bookmark15"/>
    </w:p>
    <w:p w14:paraId="10B4F106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（</w:t>
      </w:r>
      <w:bookmarkEnd w:id="4"/>
      <w:r>
        <w:rPr>
          <w:rFonts w:hint="eastAsia" w:ascii="仿宋" w:hAnsi="仿宋" w:eastAsia="仿宋" w:cs="仿宋"/>
          <w:sz w:val="24"/>
          <w:lang w:val="zh-TW" w:eastAsia="zh-TW" w:bidi="zh-TW"/>
        </w:rPr>
        <w:t>二）未按合同要求提供服务或服务质量不能满足合同要求</w:t>
      </w:r>
      <w:r>
        <w:rPr>
          <w:rFonts w:hint="eastAsia" w:ascii="仿宋" w:hAnsi="仿宋" w:eastAsia="仿宋" w:cs="仿宋"/>
          <w:sz w:val="24"/>
          <w:lang w:val="zh-TW" w:bidi="zh-TW"/>
        </w:rPr>
        <w:t>，</w:t>
      </w:r>
      <w:r>
        <w:rPr>
          <w:rFonts w:hint="eastAsia" w:ascii="仿宋" w:hAnsi="仿宋" w:eastAsia="仿宋" w:cs="仿宋"/>
          <w:sz w:val="24"/>
          <w:lang w:bidi="zh-TW"/>
        </w:rPr>
        <w:t>甲方应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当将乙方违约的情况以及拟釆取的措施以书面形式报政府釆购监管</w:t>
      </w:r>
      <w:r>
        <w:rPr>
          <w:rFonts w:hint="eastAsia" w:ascii="仿宋" w:hAnsi="仿宋" w:eastAsia="仿宋" w:cs="仿宋"/>
          <w:sz w:val="24"/>
          <w:lang w:bidi="zh-TW"/>
        </w:rPr>
        <w:t>部门，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根据政府采购监管部门的处理意见，甲方有权依据《民法典》</w:t>
      </w:r>
      <w:r>
        <w:rPr>
          <w:rFonts w:hint="eastAsia" w:ascii="仿宋" w:hAnsi="仿宋" w:eastAsia="仿宋" w:cs="仿宋"/>
          <w:sz w:val="24"/>
          <w:lang w:bidi="zh-TW"/>
        </w:rPr>
        <w:t>有关条款及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合同约定解除合同，乙方应向甲方支付合同总价款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 </w:t>
      </w:r>
      <w:r>
        <w:rPr>
          <w:rFonts w:hint="eastAsia" w:ascii="仿宋" w:hAnsi="仿宋" w:eastAsia="仿宋" w:cs="仿宋"/>
          <w:sz w:val="24"/>
          <w:lang w:bidi="zh-TW"/>
        </w:rPr>
        <w:t>%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的违约金。</w:t>
      </w:r>
      <w:r>
        <w:rPr>
          <w:rFonts w:hint="eastAsia" w:ascii="仿宋" w:hAnsi="仿宋" w:eastAsia="仿宋" w:cs="仿宋"/>
          <w:sz w:val="24"/>
          <w:lang w:bidi="zh-TW"/>
        </w:rPr>
        <w:t>同时，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政府釆购监管部门有权依据《政府釆购法》及相关法律法规对乙方</w:t>
      </w:r>
      <w:r>
        <w:rPr>
          <w:rFonts w:hint="eastAsia" w:ascii="仿宋" w:hAnsi="仿宋" w:eastAsia="仿宋" w:cs="仿宋"/>
          <w:sz w:val="24"/>
          <w:lang w:val="zh-TW" w:bidi="zh-TW"/>
        </w:rPr>
        <w:t>的</w:t>
      </w:r>
      <w:r>
        <w:rPr>
          <w:rFonts w:hint="eastAsia" w:ascii="仿宋" w:hAnsi="仿宋" w:eastAsia="仿宋" w:cs="仿宋"/>
          <w:sz w:val="24"/>
          <w:lang w:bidi="zh-TW"/>
        </w:rPr>
        <w:t>违法行为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进行相应的处罚。</w:t>
      </w:r>
    </w:p>
    <w:p w14:paraId="06000373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bookmarkStart w:id="5" w:name="bookmark16"/>
      <w:r>
        <w:rPr>
          <w:rFonts w:hint="eastAsia" w:ascii="仿宋" w:hAnsi="仿宋" w:eastAsia="仿宋" w:cs="仿宋"/>
          <w:sz w:val="24"/>
          <w:lang w:val="zh-TW" w:eastAsia="zh-TW" w:bidi="zh-TW"/>
        </w:rPr>
        <w:t>（</w:t>
      </w:r>
      <w:bookmarkEnd w:id="5"/>
      <w:r>
        <w:rPr>
          <w:rFonts w:hint="eastAsia" w:ascii="仿宋" w:hAnsi="仿宋" w:eastAsia="仿宋" w:cs="仿宋"/>
          <w:sz w:val="24"/>
          <w:lang w:val="zh-TW" w:eastAsia="zh-TW" w:bidi="zh-TW"/>
        </w:rPr>
        <w:t>三）在本合同履行过程中，双方因违约或造成对方经济、</w:t>
      </w:r>
      <w:r>
        <w:rPr>
          <w:rFonts w:hint="eastAsia" w:ascii="仿宋" w:hAnsi="仿宋" w:eastAsia="仿宋" w:cs="仿宋"/>
          <w:sz w:val="24"/>
          <w:lang w:bidi="zh-TW"/>
        </w:rPr>
        <w:t>社会效益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等损失的应当赔偿。</w:t>
      </w:r>
    </w:p>
    <w:p w14:paraId="12A2896E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CN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四</w:t>
      </w:r>
      <w:r>
        <w:rPr>
          <w:rFonts w:hint="eastAsia" w:ascii="仿宋" w:hAnsi="仿宋" w:eastAsia="仿宋" w:cs="仿宋"/>
          <w:sz w:val="24"/>
          <w:lang w:val="zh-CN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乙方提供的服务不符合本项目相关文件和本合同规定的，甲方</w:t>
      </w:r>
      <w:r>
        <w:rPr>
          <w:rFonts w:hint="eastAsia" w:ascii="仿宋" w:hAnsi="仿宋" w:eastAsia="仿宋" w:cs="仿宋"/>
          <w:sz w:val="24"/>
          <w:lang w:bidi="zh-TW"/>
        </w:rPr>
        <w:t>有权拒绝，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并且乙方须向甲方支付本合同总价款</w:t>
      </w:r>
      <w:r>
        <w:rPr>
          <w:rFonts w:hint="eastAsia" w:ascii="仿宋" w:hAnsi="仿宋" w:eastAsia="仿宋" w:cs="仿宋"/>
          <w:sz w:val="24"/>
          <w:u w:val="single"/>
          <w:lang w:val="zh-CN" w:bidi="zh-TW"/>
        </w:rPr>
        <w:tab/>
      </w:r>
      <w:r>
        <w:rPr>
          <w:rFonts w:hint="eastAsia" w:ascii="仿宋" w:hAnsi="仿宋" w:eastAsia="仿宋" w:cs="仿宋"/>
          <w:sz w:val="24"/>
          <w:lang w:bidi="zh-TW"/>
        </w:rPr>
        <w:t>%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的违约金。</w:t>
      </w:r>
    </w:p>
    <w:p w14:paraId="22151561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五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乙方未能按照本合同约定时间提供服务或完成约定的项目服务</w:t>
      </w:r>
      <w:r>
        <w:rPr>
          <w:rFonts w:hint="eastAsia" w:ascii="仿宋" w:hAnsi="仿宋" w:eastAsia="仿宋" w:cs="仿宋"/>
          <w:sz w:val="24"/>
          <w:lang w:bidi="zh-TW"/>
        </w:rPr>
        <w:t>内容的</w:t>
      </w:r>
      <w:r>
        <w:rPr>
          <w:rFonts w:hint="eastAsia" w:ascii="仿宋" w:hAnsi="仿宋" w:eastAsia="仿宋" w:cs="仿宋"/>
          <w:sz w:val="24"/>
          <w:lang w:val="zh-TW" w:bidi="zh-TW"/>
        </w:rPr>
        <w:t>，</w:t>
      </w:r>
      <w:r>
        <w:rPr>
          <w:rFonts w:hint="eastAsia" w:ascii="仿宋" w:hAnsi="仿宋" w:eastAsia="仿宋" w:cs="仿宋"/>
          <w:sz w:val="24"/>
          <w:lang w:bidi="zh-TW"/>
        </w:rPr>
        <w:t>从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逾期之日起每日按本合同总价款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%的数额向甲方支付违约</w:t>
      </w:r>
      <w:r>
        <w:rPr>
          <w:rFonts w:hint="eastAsia" w:ascii="仿宋" w:hAnsi="仿宋" w:eastAsia="仿宋" w:cs="仿宋"/>
          <w:sz w:val="24"/>
          <w:lang w:bidi="zh-TW"/>
        </w:rPr>
        <w:t>金；逾期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日以上的，甲方有权终止合同，由此造成的甲方经济损失由</w:t>
      </w:r>
      <w:r>
        <w:rPr>
          <w:rFonts w:hint="eastAsia" w:ascii="仿宋" w:hAnsi="仿宋" w:eastAsia="仿宋" w:cs="仿宋"/>
          <w:sz w:val="24"/>
          <w:lang w:bidi="zh-TW"/>
        </w:rPr>
        <w:t>乙方承担。</w:t>
      </w:r>
    </w:p>
    <w:p w14:paraId="1580B862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六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未经甲方同意，乙方不得擅自将本合同服务分包或转包第三方</w:t>
      </w:r>
      <w:r>
        <w:rPr>
          <w:rFonts w:hint="eastAsia" w:ascii="仿宋" w:hAnsi="仿宋" w:eastAsia="仿宋" w:cs="仿宋"/>
          <w:sz w:val="24"/>
          <w:lang w:bidi="zh-TW"/>
        </w:rPr>
        <w:t>承担。</w:t>
      </w:r>
    </w:p>
    <w:p w14:paraId="61CC92AE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七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本合同中各条款约定的违约金可自甲方未支付款项中直接扣除，违约金若不能弥补甲方损失的，乙方还应赔偿甲方超出部分的损失。</w:t>
      </w:r>
    </w:p>
    <w:p w14:paraId="790F16C5">
      <w:p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九、保密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条款</w:t>
      </w:r>
    </w:p>
    <w:p w14:paraId="6C66355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乙方应遵守国家有关保密的法律法规和行业规定，并对甲方</w:t>
      </w:r>
      <w:r>
        <w:rPr>
          <w:rFonts w:hint="eastAsia" w:ascii="仿宋" w:hAnsi="仿宋" w:eastAsia="仿宋" w:cs="仿宋"/>
          <w:sz w:val="24"/>
          <w:lang w:bidi="zh-TW"/>
        </w:rPr>
        <w:t>提供的资料负有保密义务。未经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甲方同意，不得将承接政府服务项目获得的</w:t>
      </w:r>
      <w:r>
        <w:rPr>
          <w:rFonts w:hint="eastAsia" w:ascii="仿宋" w:hAnsi="仿宋" w:eastAsia="仿宋" w:cs="仿宋"/>
          <w:sz w:val="24"/>
          <w:lang w:bidi="zh-TW"/>
        </w:rPr>
        <w:t>政府、公民个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人等各种信息和资料提供给其他单位和个人。如发生以上</w:t>
      </w:r>
      <w:r>
        <w:rPr>
          <w:rFonts w:hint="eastAsia" w:ascii="仿宋" w:hAnsi="仿宋" w:eastAsia="仿宋" w:cs="仿宋"/>
          <w:sz w:val="24"/>
          <w:lang w:bidi="zh-TW"/>
        </w:rPr>
        <w:t>情况，甲方有权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索赔。</w:t>
      </w:r>
    </w:p>
    <w:p w14:paraId="186EE24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甲方有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义务保护乙方的知识产权，未经乙方同意，不得将乙方</w:t>
      </w:r>
      <w:r>
        <w:rPr>
          <w:rFonts w:hint="eastAsia" w:ascii="仿宋" w:hAnsi="仿宋" w:eastAsia="仿宋" w:cs="仿宋"/>
          <w:sz w:val="24"/>
          <w:lang w:bidi="zh-TW"/>
        </w:rPr>
        <w:t>交付的具有知识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产权性质的成果文件、资料向第三方转让或用于本合同以</w:t>
      </w:r>
      <w:r>
        <w:rPr>
          <w:rFonts w:hint="eastAsia" w:ascii="仿宋" w:hAnsi="仿宋" w:eastAsia="仿宋" w:cs="仿宋"/>
          <w:sz w:val="24"/>
          <w:lang w:bidi="zh-TW"/>
        </w:rPr>
        <w:t>外的项目。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如发生以上情况，乙方有权索赔，但甲方依据相关法定职责对</w:t>
      </w:r>
      <w:r>
        <w:rPr>
          <w:rFonts w:hint="eastAsia" w:ascii="仿宋" w:hAnsi="仿宋" w:eastAsia="仿宋" w:cs="仿宋"/>
          <w:sz w:val="24"/>
          <w:lang w:bidi="zh-TW"/>
        </w:rPr>
        <w:t>外公开的除外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。</w:t>
      </w:r>
    </w:p>
    <w:p w14:paraId="77E49A81">
      <w:pPr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三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条款为独立条款，本合同的无效、变更、解除和终止均不</w:t>
      </w:r>
      <w:r>
        <w:rPr>
          <w:rFonts w:hint="eastAsia" w:ascii="仿宋" w:hAnsi="仿宋" w:eastAsia="仿宋" w:cs="仿宋"/>
          <w:sz w:val="24"/>
          <w:lang w:bidi="zh-TW"/>
        </w:rPr>
        <w:t>影响本条款的效力。</w:t>
      </w:r>
    </w:p>
    <w:p w14:paraId="5E7E6A35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十、争议解决</w:t>
      </w:r>
    </w:p>
    <w:p w14:paraId="4B83529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合同在履行过程中发生的争议，由甲、乙双方当事人协商</w:t>
      </w:r>
      <w:r>
        <w:rPr>
          <w:rFonts w:hint="eastAsia" w:ascii="仿宋" w:hAnsi="仿宋" w:eastAsia="仿宋" w:cs="仿宋"/>
          <w:sz w:val="24"/>
          <w:lang w:bidi="zh-TW"/>
        </w:rPr>
        <w:t>解决，协商不成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的按下列第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2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种方式解决：</w:t>
      </w:r>
    </w:p>
    <w:p w14:paraId="6CE16FA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1、提交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西安仲裁委员会仲裁；</w:t>
      </w:r>
    </w:p>
    <w:p w14:paraId="57A4F1B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2、依法向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甲方所在地人民法院起诉。</w:t>
      </w:r>
    </w:p>
    <w:p w14:paraId="2D24360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条款为独立条款，本合同的无效、变更、解除和终止均不</w:t>
      </w:r>
      <w:r>
        <w:rPr>
          <w:rFonts w:hint="eastAsia" w:ascii="仿宋" w:hAnsi="仿宋" w:eastAsia="仿宋" w:cs="仿宋"/>
          <w:sz w:val="24"/>
          <w:lang w:bidi="zh-TW"/>
        </w:rPr>
        <w:t>影响本条款的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效力。</w:t>
      </w:r>
    </w:p>
    <w:p w14:paraId="2A6E3749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十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一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、合同变更</w:t>
      </w:r>
    </w:p>
    <w:p w14:paraId="1A0B0B8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在合同的执行期内，双方均不得随意变更或解除合同。如因项目</w:t>
      </w:r>
      <w:r>
        <w:rPr>
          <w:rFonts w:hint="eastAsia" w:ascii="仿宋" w:hAnsi="仿宋" w:eastAsia="仿宋" w:cs="仿宋"/>
          <w:sz w:val="24"/>
          <w:lang w:bidi="zh-TW"/>
        </w:rPr>
        <w:t>需求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情况发生变化，需要项目变更的，应双方协商后签订项目变更协议</w:t>
      </w:r>
      <w:r>
        <w:rPr>
          <w:rFonts w:hint="eastAsia" w:ascii="仿宋" w:hAnsi="仿宋" w:eastAsia="仿宋" w:cs="仿宋"/>
          <w:sz w:val="24"/>
          <w:lang w:bidi="zh-TW"/>
        </w:rPr>
        <w:t>后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生效（如双方变更事项不能达成一致的，仍按原合同履</w:t>
      </w:r>
      <w:r>
        <w:rPr>
          <w:rFonts w:hint="eastAsia" w:ascii="仿宋" w:hAnsi="仿宋" w:eastAsia="仿宋" w:cs="仿宋"/>
          <w:sz w:val="24"/>
          <w:lang w:bidi="zh-TW"/>
        </w:rPr>
        <w:t>行，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否则视为违约）。</w:t>
      </w:r>
    </w:p>
    <w:p w14:paraId="162533E9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十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二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、合同生效</w:t>
      </w:r>
    </w:p>
    <w:p w14:paraId="6BA3419F">
      <w:pPr>
        <w:spacing w:after="100"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本合同一式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份,甲方持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份，乙方持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份,本合同甲、乙各方签字并盖章后生效，</w:t>
      </w:r>
      <w:r>
        <w:rPr>
          <w:rFonts w:hint="eastAsia" w:ascii="仿宋" w:hAnsi="仿宋" w:eastAsia="仿宋" w:cs="仿宋"/>
          <w:sz w:val="24"/>
          <w:lang w:bidi="zh-TW"/>
        </w:rPr>
        <w:t>合同执行完毕后，自动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失效（合同的服务承诺则长期有效）。</w:t>
      </w:r>
    </w:p>
    <w:p w14:paraId="02D51DBF">
      <w:p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  <w:lang w:bidi="en-US"/>
        </w:rPr>
      </w:pPr>
      <w:r>
        <w:rPr>
          <w:rFonts w:hint="eastAsia" w:ascii="仿宋" w:hAnsi="仿宋" w:eastAsia="仿宋" w:cs="仿宋"/>
          <w:b/>
          <w:bCs/>
          <w:sz w:val="24"/>
          <w:lang w:bidi="en-US"/>
        </w:rPr>
        <w:t>十三、其他事项</w:t>
      </w:r>
    </w:p>
    <w:p w14:paraId="4724F13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</w:t>
      </w:r>
      <w:r>
        <w:rPr>
          <w:rFonts w:hint="eastAsia" w:ascii="仿宋" w:hAnsi="仿宋" w:eastAsia="仿宋" w:cs="仿宋"/>
          <w:kern w:val="0"/>
          <w:sz w:val="24"/>
        </w:rPr>
        <w:t>西安市财政局</w:t>
      </w:r>
      <w:r>
        <w:rPr>
          <w:rFonts w:hint="eastAsia" w:ascii="仿宋" w:hAnsi="仿宋" w:eastAsia="仿宋" w:cs="仿宋"/>
          <w:sz w:val="24"/>
          <w:lang w:bidi="zh-TW"/>
        </w:rPr>
        <w:t>在合同的履行期间以及履行期后，可以随时检查项目的执行情况，对采购标准、釆购内容进行调查核实，并对发现的问题进行处理。</w:t>
      </w:r>
    </w:p>
    <w:p w14:paraId="690F8F48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竞争性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磋商文件、响应文件、澄清表（函）、成交通知书、合同</w:t>
      </w:r>
      <w:r>
        <w:rPr>
          <w:rFonts w:hint="eastAsia" w:ascii="仿宋" w:hAnsi="仿宋" w:eastAsia="仿宋" w:cs="仿宋"/>
          <w:sz w:val="24"/>
          <w:lang w:bidi="zh-TW"/>
        </w:rPr>
        <w:t>附件均为合同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不可分割的部分。</w:t>
      </w:r>
    </w:p>
    <w:p w14:paraId="1C2EF1A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三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甲乙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双方因不可抗力导致本合同全部或部分不能履行时，发生</w:t>
      </w:r>
      <w:r>
        <w:rPr>
          <w:rFonts w:hint="eastAsia" w:ascii="仿宋" w:hAnsi="仿宋" w:eastAsia="仿宋" w:cs="仿宋"/>
          <w:sz w:val="24"/>
          <w:lang w:bidi="zh-TW"/>
        </w:rPr>
        <w:t>不可抗力的一方应当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在不可抗力发生后天内书面通知对方，以减轻</w:t>
      </w:r>
      <w:r>
        <w:rPr>
          <w:rFonts w:hint="eastAsia" w:ascii="仿宋" w:hAnsi="仿宋" w:eastAsia="仿宋" w:cs="仿宋"/>
          <w:sz w:val="24"/>
          <w:lang w:bidi="zh-TW"/>
        </w:rPr>
        <w:t>可能给对方造成的损失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。因不可抗力导致本合同全部或部分不能履行时，</w:t>
      </w:r>
      <w:r>
        <w:rPr>
          <w:rFonts w:hint="eastAsia" w:ascii="仿宋" w:hAnsi="仿宋" w:eastAsia="仿宋" w:cs="仿宋"/>
          <w:sz w:val="24"/>
          <w:lang w:bidi="zh-TW"/>
        </w:rPr>
        <w:t>双方各自承担其因此而造成的损失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、损害。</w:t>
      </w:r>
    </w:p>
    <w:p w14:paraId="66D4AE5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四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合同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未尽事宜，由甲、乙双方协商确认后签订政府</w:t>
      </w:r>
      <w:r>
        <w:rPr>
          <w:rFonts w:hint="eastAsia" w:ascii="仿宋" w:hAnsi="仿宋" w:eastAsia="仿宋" w:cs="仿宋"/>
          <w:sz w:val="24"/>
          <w:lang w:bidi="zh-TW"/>
        </w:rPr>
        <w:t>采购补充合同，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与原合同具有同等法律效力。</w:t>
      </w:r>
    </w:p>
    <w:tbl>
      <w:tblPr>
        <w:tblStyle w:val="2"/>
        <w:tblpPr w:leftFromText="181" w:rightFromText="181" w:vertAnchor="text" w:horzAnchor="margin" w:tblpXSpec="center" w:tblpY="24"/>
        <w:tblOverlap w:val="never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5"/>
        <w:gridCol w:w="4035"/>
      </w:tblGrid>
      <w:tr w14:paraId="2817F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632" w:type="pct"/>
          </w:tcPr>
          <w:p w14:paraId="19FE737C">
            <w:pPr>
              <w:overflowPunct w:val="0"/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甲  方</w:t>
            </w:r>
          </w:p>
        </w:tc>
        <w:tc>
          <w:tcPr>
            <w:tcW w:w="2367" w:type="pct"/>
          </w:tcPr>
          <w:p w14:paraId="722583E3">
            <w:pPr>
              <w:overflowPunct w:val="0"/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乙  方</w:t>
            </w:r>
          </w:p>
        </w:tc>
      </w:tr>
      <w:tr w14:paraId="23FBA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2632" w:type="pct"/>
            <w:vAlign w:val="center"/>
          </w:tcPr>
          <w:p w14:paraId="0E291FF9">
            <w:pPr>
              <w:overflowPunct w:val="0"/>
              <w:topLinePunct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采购人全称</w:t>
            </w:r>
          </w:p>
          <w:p w14:paraId="54382780">
            <w:pPr>
              <w:overflowPunct w:val="0"/>
              <w:topLinePunct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（公章）</w:t>
            </w:r>
          </w:p>
        </w:tc>
        <w:tc>
          <w:tcPr>
            <w:tcW w:w="2367" w:type="pct"/>
            <w:vAlign w:val="center"/>
          </w:tcPr>
          <w:p w14:paraId="7127F247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成交供应商全称</w:t>
            </w:r>
          </w:p>
          <w:p w14:paraId="3D707EDC">
            <w:pPr>
              <w:overflowPunct w:val="0"/>
              <w:topLinePunct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（公章）</w:t>
            </w:r>
          </w:p>
        </w:tc>
      </w:tr>
      <w:tr w14:paraId="32845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632" w:type="pct"/>
          </w:tcPr>
          <w:p w14:paraId="0C758F97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地址： </w:t>
            </w:r>
          </w:p>
        </w:tc>
        <w:tc>
          <w:tcPr>
            <w:tcW w:w="2367" w:type="pct"/>
          </w:tcPr>
          <w:p w14:paraId="7A49BE70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地址：</w:t>
            </w:r>
          </w:p>
        </w:tc>
      </w:tr>
      <w:tr w14:paraId="1901F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632" w:type="pct"/>
          </w:tcPr>
          <w:p w14:paraId="6B965A2C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邮编：</w:t>
            </w:r>
          </w:p>
        </w:tc>
        <w:tc>
          <w:tcPr>
            <w:tcW w:w="2367" w:type="pct"/>
          </w:tcPr>
          <w:p w14:paraId="253C2904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邮编：</w:t>
            </w:r>
          </w:p>
        </w:tc>
      </w:tr>
      <w:tr w14:paraId="70D67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632" w:type="pct"/>
          </w:tcPr>
          <w:p w14:paraId="4FFCE38F">
            <w:pPr>
              <w:overflowPunct w:val="0"/>
              <w:topLinePunct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法定代表人或被授权人（签字或盖章）： </w:t>
            </w:r>
          </w:p>
        </w:tc>
        <w:tc>
          <w:tcPr>
            <w:tcW w:w="2367" w:type="pct"/>
          </w:tcPr>
          <w:p w14:paraId="244BA363">
            <w:pPr>
              <w:overflowPunct w:val="0"/>
              <w:topLinePunct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法定代表人或被授权人（签字或盖章）：</w:t>
            </w:r>
          </w:p>
        </w:tc>
      </w:tr>
      <w:tr w14:paraId="0A19E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632" w:type="pct"/>
          </w:tcPr>
          <w:p w14:paraId="769D2B64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电话：</w:t>
            </w:r>
          </w:p>
        </w:tc>
        <w:tc>
          <w:tcPr>
            <w:tcW w:w="2367" w:type="pct"/>
          </w:tcPr>
          <w:p w14:paraId="1E3E6981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电话：</w:t>
            </w:r>
          </w:p>
        </w:tc>
      </w:tr>
      <w:tr w14:paraId="331B9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2632" w:type="pct"/>
          </w:tcPr>
          <w:p w14:paraId="330C553C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传真：</w:t>
            </w:r>
          </w:p>
        </w:tc>
        <w:tc>
          <w:tcPr>
            <w:tcW w:w="2367" w:type="pct"/>
          </w:tcPr>
          <w:p w14:paraId="0716A386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传真：</w:t>
            </w:r>
          </w:p>
        </w:tc>
      </w:tr>
      <w:tr w14:paraId="17699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2632" w:type="pct"/>
          </w:tcPr>
          <w:p w14:paraId="181A4844">
            <w:pPr>
              <w:overflowPunct w:val="0"/>
              <w:topLinePunct/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开户银行：</w:t>
            </w:r>
          </w:p>
        </w:tc>
        <w:tc>
          <w:tcPr>
            <w:tcW w:w="2367" w:type="pct"/>
          </w:tcPr>
          <w:p w14:paraId="1763D159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开户银行：</w:t>
            </w:r>
          </w:p>
        </w:tc>
      </w:tr>
      <w:tr w14:paraId="7F97A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632" w:type="pct"/>
          </w:tcPr>
          <w:p w14:paraId="3215F2AF">
            <w:pPr>
              <w:overflowPunct w:val="0"/>
              <w:topLinePunct/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账号：</w:t>
            </w:r>
          </w:p>
        </w:tc>
        <w:tc>
          <w:tcPr>
            <w:tcW w:w="2367" w:type="pct"/>
          </w:tcPr>
          <w:p w14:paraId="4CB78D0A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账号：</w:t>
            </w:r>
          </w:p>
        </w:tc>
      </w:tr>
      <w:tr w14:paraId="63934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5000" w:type="pct"/>
            <w:gridSpan w:val="2"/>
          </w:tcPr>
          <w:p w14:paraId="0D681355">
            <w:pPr>
              <w:overflowPunct w:val="0"/>
              <w:topLinePunct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年  月  日</w:t>
            </w:r>
          </w:p>
        </w:tc>
      </w:tr>
    </w:tbl>
    <w:p w14:paraId="35215641"/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8B61FB"/>
    <w:rsid w:val="5F8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2026-03-26T05:39:00Z</dcterms:created>
  <dc:creator>四方衡裕</dc:creator>
  <cp:lastModifiedBy>四方衡裕</cp:lastModifiedBy>
  <dcterms:modified xsi:type="dcterms:W3CDTF">2026-03-26T05:39:36Z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014CCEEAD241436A8AC04151C68AE59E_11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