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版本号：LZBE2025-1955.1.2B120260325001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2025年办公日杂采购及一次性奶瓶项目(二次)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LZBE2025-1955.1.2B1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2025年办公日杂采购及一次性奶瓶项目(二次)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LZBE2025-1955.1.2B1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2025年办公日杂采购及一次性奶瓶项目(二次)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在医疗行业快速发展与医院优质服务建设持续推进的背景下，医院办公日杂及办公用纸是医院的重要物资，其供应的规范性与品质的可靠性愈发关键，西安市第三医院为进一步满足办公需求，拟通采购一批办公日杂及办公用纸，具体详见采购文件。 采购包2：随着医院新生儿科诊疗服务量持续增长，新生儿喂养的卫生安全与院感防控要求不断提高，我院作为区域内新生儿救治中心，保障新生儿喂养环节的无菌化、标准化是医疗服务质量提升的关键。为避免传统奶瓶重复使用带来的交叉感染风险，规范新生儿喂养器具的使用管理，提升新生儿护理的安全与效率，拟通过招标方式采购一批一次性奶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供应商基本账户银行出具的资信证明，同时还需提供供应商基本存款账户开户许可证（或基本存款账户信息证明））。或提供专业担保机构出具的投标担保函，供应商需在项目电子化交易系 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照上信息须一致），供应商需在项 目电子化交易系统中按要求上传相 应证明文件并进行电子签章；</w:t>
      </w:r>
    </w:p>
    <w:p>
      <w:pPr>
        <w:pStyle w:val="null3"/>
      </w:pPr>
      <w:r>
        <w:rPr>
          <w:rFonts w:ascii="仿宋_GB2312" w:hAnsi="仿宋_GB2312" w:cs="仿宋_GB2312" w:eastAsia="仿宋_GB2312"/>
        </w:rPr>
        <w:t>7、供应商提供诚信声明函，承诺与交叉控股股东、交叉兼任高管的其他供应商未同时参与本项目：供应商提供诚信声明函，承诺与交叉控股股东、交叉兼任高管的其他供应商未同时参与本项目。供应商需在项目电子化交易系统中按要求上传相应证明文件并进行电子签章</w:t>
      </w:r>
    </w:p>
    <w:p>
      <w:pPr>
        <w:pStyle w:val="null3"/>
      </w:pPr>
      <w:r>
        <w:rPr>
          <w:rFonts w:ascii="仿宋_GB2312" w:hAnsi="仿宋_GB2312" w:cs="仿宋_GB2312" w:eastAsia="仿宋_GB2312"/>
        </w:rPr>
        <w:t>8、供应商参加政府采购活动前3年内的招投标和政府采购活动中无以行贿手段谋取中标（成交）的行为，并承诺在本次政府采购活动中，不以向采购人、代理机构、评审人员提供利益和好处谋取中标（成交）：供应商承诺参加政府采购活动前3年内的招投标和政府采购活动中无以行贿手段谋取中标（成交）的行为，并承诺在本次政府采购活动中，不以向采购人、代理机构、评审人员提供利益和好处谋取中标（成交），供应商需在项目电子化交易系统中按要求上传相应证明文件并进行电子签章</w:t>
      </w:r>
    </w:p>
    <w:p>
      <w:pPr>
        <w:pStyle w:val="null3"/>
      </w:pPr>
      <w:r>
        <w:rPr>
          <w:rFonts w:ascii="仿宋_GB2312" w:hAnsi="仿宋_GB2312" w:cs="仿宋_GB2312" w:eastAsia="仿宋_GB2312"/>
        </w:rPr>
        <w:t>9、供应商非采购人及项目代理机构员工和亲属投资开办的公司，其法人、股东、高级管理人员非采购人单位员工及亲属。采购人、代理机构和供应商之间无相互兼职的情形。：供应商承诺本公司非采购人及项目代理机构员工和亲属投资开办的公司，其法人、股东、高级管理人员非采购人单位员工及亲属。采购人、代理机构和供应商之间无相互兼职的情形。供应商需在项目电子化交易系统中按要求上传相应证明文件并进行电子签章</w:t>
      </w:r>
    </w:p>
    <w:p>
      <w:pPr>
        <w:pStyle w:val="null3"/>
      </w:pPr>
      <w:r>
        <w:rPr>
          <w:rFonts w:ascii="仿宋_GB2312" w:hAnsi="仿宋_GB2312" w:cs="仿宋_GB2312" w:eastAsia="仿宋_GB2312"/>
        </w:rPr>
        <w:t>10、供应商未因为违规违纪被列入市卫健系统或采购人“黑名单”：供应商未因为违规违纪被列入市卫健系统或采购人“黑名单”，供应商需在项目电子化交易系统中按要求上传相应证明文件并进行电子签章</w:t>
      </w:r>
    </w:p>
    <w:p>
      <w:pPr>
        <w:pStyle w:val="null3"/>
      </w:pPr>
      <w:r>
        <w:rPr>
          <w:rFonts w:ascii="仿宋_GB2312" w:hAnsi="仿宋_GB2312" w:cs="仿宋_GB2312" w:eastAsia="仿宋_GB2312"/>
        </w:rPr>
        <w:t>11、供应商信用状况：：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递交截止后的网站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供应商基本账户银行出具的资信证明，同时还需提供供应商基本存款账户开户许可证（或基本存款账户信息证明））。或提供专业担保机构出具的投标担保函，供应商需在项目电子化交易系 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照上信息须一致），供应商需在项 目电子化交易系统中按要求上传相 应证明文件并进行电子签章；</w:t>
      </w:r>
    </w:p>
    <w:p>
      <w:pPr>
        <w:pStyle w:val="null3"/>
      </w:pPr>
      <w:r>
        <w:rPr>
          <w:rFonts w:ascii="仿宋_GB2312" w:hAnsi="仿宋_GB2312" w:cs="仿宋_GB2312" w:eastAsia="仿宋_GB2312"/>
        </w:rPr>
        <w:t>7、供应商提供诚信声明函，承诺与交叉控股股东、交叉兼任高管的其他供应商未同时参与本项目：供应商提供诚信声明函，承诺与交叉控股股东、交叉兼任高管的其他供应商未同时参与本项目。供应商需在项目电子化交易系统中按要求上传相应证明文件并进行电子签章</w:t>
      </w:r>
    </w:p>
    <w:p>
      <w:pPr>
        <w:pStyle w:val="null3"/>
      </w:pPr>
      <w:r>
        <w:rPr>
          <w:rFonts w:ascii="仿宋_GB2312" w:hAnsi="仿宋_GB2312" w:cs="仿宋_GB2312" w:eastAsia="仿宋_GB2312"/>
        </w:rPr>
        <w:t>8、供应商参加政府采购活动前3年内的招投标和政府采购活动中无以行贿手段谋取中标（成交）的行为，并承诺在本次政府采购活动中，不以向采购人、代理机构、评审人员提供利益和好处谋取中标（成交）供应商非采购人及项目代理机构员工和亲属投资开办的公司，其法人、股东、高级管理人员非采购人单位员工及亲属。采购人、代理机构和供应商之间无相互兼职的情形。：供应商承诺参加政府采购活动前3年内的招投标和政府采购活动中无以行贿手段谋取中标（成交）的行为，并承诺在本次政府采购活动中，不以向采购人、代理机构、评审人员提供利益和好处谋取中标（成交），供应商需在项目电子化交易系统中按要求上传相应证明文件并进行电子签章</w:t>
      </w:r>
    </w:p>
    <w:p>
      <w:pPr>
        <w:pStyle w:val="null3"/>
      </w:pPr>
      <w:r>
        <w:rPr>
          <w:rFonts w:ascii="仿宋_GB2312" w:hAnsi="仿宋_GB2312" w:cs="仿宋_GB2312" w:eastAsia="仿宋_GB2312"/>
        </w:rPr>
        <w:t>9、供应商非采购人及项目代理机构员工和亲属投资开办的公司，其法人、股东、高级管理人员非采购人单位员工及亲属。采购人、代理机构和供应商之间无相互兼职的情形。：供应商承诺本公司非采购人及项目代理机构员工和亲属投资开办的公司，其法人、股东、高级管理人员非采购人单位员工及亲属。采购人、代理机构和供应商之间无相互兼职的情形。供应商需在项目电子化交易系统中按要求上传相应证明文件并进行电子签章</w:t>
      </w:r>
    </w:p>
    <w:p>
      <w:pPr>
        <w:pStyle w:val="null3"/>
      </w:pPr>
      <w:r>
        <w:rPr>
          <w:rFonts w:ascii="仿宋_GB2312" w:hAnsi="仿宋_GB2312" w:cs="仿宋_GB2312" w:eastAsia="仿宋_GB2312"/>
        </w:rPr>
        <w:t>10、供应商未因为违规违纪被列入市卫健系统或采购人“黑名单”：供应商未因为违规违纪被列入市卫健系统或采购人“黑名单”，供应商需在项目电子化交易系统中按要求上传相应证明文件并进行电子签章</w:t>
      </w:r>
    </w:p>
    <w:p>
      <w:pPr>
        <w:pStyle w:val="null3"/>
      </w:pPr>
      <w:r>
        <w:rPr>
          <w:rFonts w:ascii="仿宋_GB2312" w:hAnsi="仿宋_GB2312" w:cs="仿宋_GB2312" w:eastAsia="仿宋_GB2312"/>
        </w:rPr>
        <w:t>11、供应商信用状况：：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递交截止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029-88228899-652、650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采购包1：1,950,000.00元</w:t>
            </w:r>
          </w:p>
          <w:p>
            <w:pPr>
              <w:pStyle w:val="null3"/>
            </w:pPr>
            <w:r>
              <w:rPr>
                <w:rFonts w:ascii="仿宋_GB2312" w:hAnsi="仿宋_GB2312" w:cs="仿宋_GB2312" w:eastAsia="仿宋_GB2312"/>
              </w:rPr>
              <w:t>采购包2：100,000.00元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预算金额为取费基数，收费标准参照计价格[2002]1980号、发改价格[2011]534号中货物类标准下浮20%收取。2、成交单位在领取成交通知书之前，须向采购代理机构支付招标代理服务费。3、招标代理服务费以转账或现金形式缴纳至以下账户：开户名称：龙寰项目管理咨询有限公司 开户银行：平安银行西安高新路支行 账 号：30201278017791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1.货物到达甲方指定地点后，甲方根据合同要求，对产品进行外观验收，确认产品的品牌、规格、型号和数量与合同要求一致。 2.产品安装并正常使用后，由乙方进行自检，合格后，准备验收材料，并书面通知甲方。 3.甲方确认乙方的自检内容后，会同乙方进行整体验收，验收合格后，填写西安市第三医院办公日杂采购项目验收合格单（一式四份）作为对产品的最终认可。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（一）货物到达甲方指定地点后，甲方根据合同要求，对物品进行验收，确认产地、规格、型号和数量。 （二）验收依据： 1、合同及合同附件。 2、国家相应的标准、规范。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在医疗行业快速发展与医院优质服务建设持续推进的背景下，医院办公日杂及办公用纸是医院的重要物资，其供应的规范性与品质的可靠性愈发关键，西安市第三医院为进一步满足办公需求，拟通采购一批办公日杂及办公用纸，具体详见采购文件。 采购包2：随着医院新生儿科诊疗服务量持续增长，新生儿喂养的卫生安全与院感防控要求不断提高，我院作为区域内新生儿救治中心，保障新生儿喂养环节的无菌化、标准化是医疗服务质量提升的关键。为避免传统奶瓶重复使用带来的交叉感染风险，规范新生儿喂养器具的使用管理，提升新生儿护理的安全与效率，拟通过招标方式采购一批一次性奶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2025年办公日杂采购项目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西安市第三医院一次性奶瓶项目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标的名称：2025年办公日杂采购项目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拟采购西安市第三医院办公日杂采购1批，具体采购需求及参数要求详见招标文件附件。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标的名称：西安市第三医院一次性奶瓶项目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货物名称</w:t>
            </w:r>
            <w:r>
              <w:rPr>
                <w:rFonts w:ascii="仿宋_GB2312" w:hAnsi="仿宋_GB2312" w:cs="仿宋_GB2312" w:eastAsia="仿宋_GB2312"/>
                <w:sz w:val="20"/>
                <w:b/>
              </w:rPr>
              <w:t>:</w:t>
            </w:r>
            <w:r>
              <w:rPr>
                <w:rFonts w:ascii="仿宋_GB2312" w:hAnsi="仿宋_GB2312" w:cs="仿宋_GB2312" w:eastAsia="仿宋_GB2312"/>
                <w:sz w:val="20"/>
                <w:b/>
              </w:rPr>
              <w:t>一次性奶瓶</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、单价限价：</w:t>
            </w:r>
            <w:r>
              <w:rPr>
                <w:rFonts w:ascii="仿宋_GB2312" w:hAnsi="仿宋_GB2312" w:cs="仿宋_GB2312" w:eastAsia="仿宋_GB2312"/>
                <w:sz w:val="20"/>
                <w:b/>
              </w:rPr>
              <w:t>1.8</w:t>
            </w:r>
            <w:r>
              <w:rPr>
                <w:rFonts w:ascii="仿宋_GB2312" w:hAnsi="仿宋_GB2312" w:cs="仿宋_GB2312" w:eastAsia="仿宋_GB2312"/>
                <w:sz w:val="20"/>
                <w:b/>
              </w:rPr>
              <w:t>元</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、技术参数</w:t>
            </w:r>
          </w:p>
          <w:p>
            <w:pPr>
              <w:pStyle w:val="null3"/>
            </w:pPr>
            <w:r>
              <w:rPr>
                <w:rFonts w:ascii="仿宋_GB2312" w:hAnsi="仿宋_GB2312" w:cs="仿宋_GB2312" w:eastAsia="仿宋_GB2312"/>
                <w:sz w:val="20"/>
                <w:b/>
              </w:rPr>
              <w:t xml:space="preserve">3.1  </w:t>
            </w:r>
            <w:r>
              <w:rPr>
                <w:rFonts w:ascii="仿宋_GB2312" w:hAnsi="仿宋_GB2312" w:cs="仿宋_GB2312" w:eastAsia="仿宋_GB2312"/>
                <w:sz w:val="20"/>
                <w:b/>
              </w:rPr>
              <w:t>容量：</w:t>
            </w:r>
            <w:r>
              <w:rPr>
                <w:rFonts w:ascii="仿宋_GB2312" w:hAnsi="仿宋_GB2312" w:cs="仿宋_GB2312" w:eastAsia="仿宋_GB2312"/>
                <w:sz w:val="20"/>
                <w:b/>
              </w:rPr>
              <w:t>100ml,</w:t>
            </w:r>
            <w:r>
              <w:rPr>
                <w:rFonts w:ascii="仿宋_GB2312" w:hAnsi="仿宋_GB2312" w:cs="仿宋_GB2312" w:eastAsia="仿宋_GB2312"/>
                <w:sz w:val="20"/>
                <w:b/>
              </w:rPr>
              <w:t>容量示值最小分度值为</w:t>
            </w:r>
            <w:r>
              <w:rPr>
                <w:rFonts w:ascii="仿宋_GB2312" w:hAnsi="仿宋_GB2312" w:cs="仿宋_GB2312" w:eastAsia="仿宋_GB2312"/>
                <w:sz w:val="20"/>
                <w:b/>
              </w:rPr>
              <w:t>2ml</w:t>
            </w:r>
            <w:r>
              <w:rPr>
                <w:rFonts w:ascii="仿宋_GB2312" w:hAnsi="仿宋_GB2312" w:cs="仿宋_GB2312" w:eastAsia="仿宋_GB2312"/>
                <w:sz w:val="20"/>
                <w:b/>
              </w:rPr>
              <w:t>双面刻度。</w:t>
            </w:r>
          </w:p>
          <w:p>
            <w:pPr>
              <w:pStyle w:val="null3"/>
            </w:pPr>
            <w:r>
              <w:rPr>
                <w:rFonts w:ascii="仿宋_GB2312" w:hAnsi="仿宋_GB2312" w:cs="仿宋_GB2312" w:eastAsia="仿宋_GB2312"/>
                <w:sz w:val="20"/>
                <w:b/>
              </w:rPr>
              <w:t xml:space="preserve">3.2  </w:t>
            </w:r>
            <w:r>
              <w:rPr>
                <w:rFonts w:ascii="仿宋_GB2312" w:hAnsi="仿宋_GB2312" w:cs="仿宋_GB2312" w:eastAsia="仿宋_GB2312"/>
                <w:sz w:val="20"/>
                <w:b/>
              </w:rPr>
              <w:t>瓶身高度：</w:t>
            </w:r>
            <w:r>
              <w:rPr>
                <w:rFonts w:ascii="仿宋_GB2312" w:hAnsi="仿宋_GB2312" w:cs="仿宋_GB2312" w:eastAsia="仿宋_GB2312"/>
                <w:sz w:val="20"/>
                <w:b/>
              </w:rPr>
              <w:t>110mm</w:t>
            </w:r>
            <w:r>
              <w:rPr>
                <w:rFonts w:ascii="仿宋_GB2312" w:hAnsi="仿宋_GB2312" w:cs="仿宋_GB2312" w:eastAsia="仿宋_GB2312"/>
                <w:sz w:val="20"/>
                <w:b/>
              </w:rPr>
              <w:t>（±</w:t>
            </w:r>
            <w:r>
              <w:rPr>
                <w:rFonts w:ascii="仿宋_GB2312" w:hAnsi="仿宋_GB2312" w:cs="仿宋_GB2312" w:eastAsia="仿宋_GB2312"/>
                <w:sz w:val="20"/>
                <w:b/>
              </w:rPr>
              <w:t>10%</w:t>
            </w:r>
            <w:r>
              <w:rPr>
                <w:rFonts w:ascii="仿宋_GB2312" w:hAnsi="仿宋_GB2312" w:cs="仿宋_GB2312" w:eastAsia="仿宋_GB2312"/>
                <w:sz w:val="20"/>
                <w:b/>
              </w:rPr>
              <w:t>）</w:t>
            </w:r>
          </w:p>
          <w:p>
            <w:pPr>
              <w:pStyle w:val="null3"/>
            </w:pPr>
            <w:r>
              <w:rPr>
                <w:rFonts w:ascii="仿宋_GB2312" w:hAnsi="仿宋_GB2312" w:cs="仿宋_GB2312" w:eastAsia="仿宋_GB2312"/>
                <w:sz w:val="20"/>
                <w:b/>
              </w:rPr>
              <w:t xml:space="preserve">3.3 </w:t>
            </w:r>
            <w:r>
              <w:rPr>
                <w:rFonts w:ascii="仿宋_GB2312" w:hAnsi="仿宋_GB2312" w:cs="仿宋_GB2312" w:eastAsia="仿宋_GB2312"/>
                <w:sz w:val="20"/>
                <w:b/>
              </w:rPr>
              <w:t>瓶身重量：单只重量≥</w:t>
            </w:r>
            <w:r>
              <w:rPr>
                <w:rFonts w:ascii="仿宋_GB2312" w:hAnsi="仿宋_GB2312" w:cs="仿宋_GB2312" w:eastAsia="仿宋_GB2312"/>
                <w:sz w:val="20"/>
                <w:b/>
              </w:rPr>
              <w:t>9.0g</w:t>
            </w:r>
          </w:p>
          <w:p>
            <w:pPr>
              <w:pStyle w:val="null3"/>
            </w:pPr>
            <w:r>
              <w:rPr>
                <w:rFonts w:ascii="仿宋_GB2312" w:hAnsi="仿宋_GB2312" w:cs="仿宋_GB2312" w:eastAsia="仿宋_GB2312"/>
                <w:sz w:val="20"/>
                <w:b/>
              </w:rPr>
              <w:t xml:space="preserve">3.4 </w:t>
            </w:r>
            <w:r>
              <w:rPr>
                <w:rFonts w:ascii="仿宋_GB2312" w:hAnsi="仿宋_GB2312" w:cs="仿宋_GB2312" w:eastAsia="仿宋_GB2312"/>
                <w:sz w:val="20"/>
                <w:b/>
              </w:rPr>
              <w:t>外观：瓶口圆口，无缺口；奶嘴标准口；</w:t>
            </w:r>
          </w:p>
          <w:p>
            <w:pPr>
              <w:pStyle w:val="null3"/>
            </w:pPr>
            <w:r>
              <w:rPr>
                <w:rFonts w:ascii="仿宋_GB2312" w:hAnsi="仿宋_GB2312" w:cs="仿宋_GB2312" w:eastAsia="仿宋_GB2312"/>
                <w:sz w:val="20"/>
                <w:b/>
              </w:rPr>
              <w:t xml:space="preserve">3.5 </w:t>
            </w:r>
            <w:r>
              <w:rPr>
                <w:rFonts w:ascii="仿宋_GB2312" w:hAnsi="仿宋_GB2312" w:cs="仿宋_GB2312" w:eastAsia="仿宋_GB2312"/>
                <w:sz w:val="20"/>
                <w:b/>
              </w:rPr>
              <w:t>瓶体：圆柱形或多边形加防尘盖，纸塑包装。瓶身塑化良好，无气泡、无污点及雾状发白，成型饱满，瓶体直正不歪斜，并无收缩、变形及划痕；瓶底无厚薄不均现象，瓶稳定站立。瓶口光滑、端面平整，有螺纹，产品螺纹圆滑无崩损。整瓶色泽均匀，表面平整洁净，质地均匀，无划痕，破裂及穿孔，无污点、色斑、尘土、杂质等异物，不得有异味和异嗅。</w:t>
            </w:r>
          </w:p>
          <w:p>
            <w:pPr>
              <w:pStyle w:val="null3"/>
            </w:pPr>
            <w:r>
              <w:rPr>
                <w:rFonts w:ascii="仿宋_GB2312" w:hAnsi="仿宋_GB2312" w:cs="仿宋_GB2312" w:eastAsia="仿宋_GB2312"/>
                <w:sz w:val="20"/>
                <w:b/>
              </w:rPr>
              <w:t xml:space="preserve">3.6 </w:t>
            </w:r>
            <w:r>
              <w:rPr>
                <w:rFonts w:ascii="仿宋_GB2312" w:hAnsi="仿宋_GB2312" w:cs="仿宋_GB2312" w:eastAsia="仿宋_GB2312"/>
                <w:sz w:val="20"/>
                <w:b/>
              </w:rPr>
              <w:t>防尘盖：防尘盖与奶嘴密封良好，能很好的起到防尘作用。</w:t>
            </w:r>
          </w:p>
          <w:p>
            <w:pPr>
              <w:pStyle w:val="null3"/>
            </w:pPr>
            <w:r>
              <w:rPr>
                <w:rFonts w:ascii="仿宋_GB2312" w:hAnsi="仿宋_GB2312" w:cs="仿宋_GB2312" w:eastAsia="仿宋_GB2312"/>
                <w:sz w:val="20"/>
                <w:b/>
              </w:rPr>
              <w:t xml:space="preserve">3.7 </w:t>
            </w:r>
            <w:r>
              <w:rPr>
                <w:rFonts w:ascii="仿宋_GB2312" w:hAnsi="仿宋_GB2312" w:cs="仿宋_GB2312" w:eastAsia="仿宋_GB2312"/>
                <w:sz w:val="20"/>
                <w:b/>
              </w:rPr>
              <w:t>物理性能：</w:t>
            </w:r>
            <w:r>
              <w:rPr>
                <w:rFonts w:ascii="仿宋_GB2312" w:hAnsi="仿宋_GB2312" w:cs="仿宋_GB2312" w:eastAsia="仿宋_GB2312"/>
                <w:sz w:val="20"/>
                <w:b/>
              </w:rPr>
              <w:t>-20</w:t>
            </w:r>
            <w:r>
              <w:rPr>
                <w:rFonts w:ascii="仿宋_GB2312" w:hAnsi="仿宋_GB2312" w:cs="仿宋_GB2312" w:eastAsia="仿宋_GB2312"/>
                <w:sz w:val="20"/>
                <w:b/>
              </w:rPr>
              <w:t>℃</w:t>
            </w:r>
            <w:r>
              <w:rPr>
                <w:rFonts w:ascii="仿宋_GB2312" w:hAnsi="仿宋_GB2312" w:cs="仿宋_GB2312" w:eastAsia="仿宋_GB2312"/>
                <w:sz w:val="20"/>
                <w:b/>
              </w:rPr>
              <w:t>-120</w:t>
            </w:r>
            <w:r>
              <w:rPr>
                <w:rFonts w:ascii="仿宋_GB2312" w:hAnsi="仿宋_GB2312" w:cs="仿宋_GB2312" w:eastAsia="仿宋_GB2312"/>
                <w:sz w:val="20"/>
                <w:b/>
              </w:rPr>
              <w:t>℃无软硬变化，无变形，不漏液；新生儿专用；</w:t>
            </w:r>
          </w:p>
          <w:p>
            <w:pPr>
              <w:pStyle w:val="null3"/>
            </w:pPr>
            <w:r>
              <w:rPr>
                <w:rFonts w:ascii="仿宋_GB2312" w:hAnsi="仿宋_GB2312" w:cs="仿宋_GB2312" w:eastAsia="仿宋_GB2312"/>
                <w:sz w:val="20"/>
                <w:b/>
              </w:rPr>
              <w:t xml:space="preserve">3.8 </w:t>
            </w:r>
            <w:r>
              <w:rPr>
                <w:rFonts w:ascii="仿宋_GB2312" w:hAnsi="仿宋_GB2312" w:cs="仿宋_GB2312" w:eastAsia="仿宋_GB2312"/>
                <w:sz w:val="20"/>
                <w:b/>
              </w:rPr>
              <w:t>材质：食品级聚丙烯（</w:t>
            </w:r>
            <w:r>
              <w:rPr>
                <w:rFonts w:ascii="仿宋_GB2312" w:hAnsi="仿宋_GB2312" w:cs="仿宋_GB2312" w:eastAsia="仿宋_GB2312"/>
                <w:sz w:val="20"/>
                <w:b/>
              </w:rPr>
              <w:t>PP</w:t>
            </w:r>
            <w:r>
              <w:rPr>
                <w:rFonts w:ascii="仿宋_GB2312" w:hAnsi="仿宋_GB2312" w:cs="仿宋_GB2312" w:eastAsia="仿宋_GB2312"/>
                <w:sz w:val="20"/>
                <w:b/>
              </w:rPr>
              <w:t>），符合</w:t>
            </w:r>
            <w:r>
              <w:rPr>
                <w:rFonts w:ascii="仿宋_GB2312" w:hAnsi="仿宋_GB2312" w:cs="仿宋_GB2312" w:eastAsia="仿宋_GB2312"/>
                <w:sz w:val="20"/>
                <w:b/>
              </w:rPr>
              <w:t>GB38995-2020</w:t>
            </w:r>
            <w:r>
              <w:rPr>
                <w:rFonts w:ascii="仿宋_GB2312" w:hAnsi="仿宋_GB2312" w:cs="仿宋_GB2312" w:eastAsia="仿宋_GB2312"/>
                <w:sz w:val="20"/>
                <w:b/>
              </w:rPr>
              <w:t>婴幼儿用奶瓶和奶嘴及</w:t>
            </w:r>
            <w:r>
              <w:rPr>
                <w:rFonts w:ascii="仿宋_GB2312" w:hAnsi="仿宋_GB2312" w:cs="仿宋_GB2312" w:eastAsia="仿宋_GB2312"/>
                <w:sz w:val="20"/>
                <w:b/>
              </w:rPr>
              <w:t>GB480617-2023</w:t>
            </w:r>
            <w:r>
              <w:rPr>
                <w:rFonts w:ascii="仿宋_GB2312" w:hAnsi="仿宋_GB2312" w:cs="仿宋_GB2312" w:eastAsia="仿宋_GB2312"/>
                <w:sz w:val="20"/>
                <w:b/>
              </w:rPr>
              <w:t>食品安全国家标准</w:t>
            </w:r>
            <w:r>
              <w:rPr>
                <w:rFonts w:ascii="仿宋_GB2312" w:hAnsi="仿宋_GB2312" w:cs="仿宋_GB2312" w:eastAsia="仿宋_GB2312"/>
                <w:sz w:val="20"/>
                <w:b/>
              </w:rPr>
              <w:t xml:space="preserve">  </w:t>
            </w:r>
            <w:r>
              <w:rPr>
                <w:rFonts w:ascii="仿宋_GB2312" w:hAnsi="仿宋_GB2312" w:cs="仿宋_GB2312" w:eastAsia="仿宋_GB2312"/>
                <w:sz w:val="20"/>
                <w:b/>
              </w:rPr>
              <w:t>食品接触用塑料材料及制品相关要求；</w:t>
            </w:r>
          </w:p>
          <w:p>
            <w:pPr>
              <w:pStyle w:val="null3"/>
            </w:pPr>
            <w:r>
              <w:rPr>
                <w:rFonts w:ascii="仿宋_GB2312" w:hAnsi="仿宋_GB2312" w:cs="仿宋_GB2312" w:eastAsia="仿宋_GB2312"/>
                <w:sz w:val="20"/>
                <w:b/>
              </w:rPr>
              <w:t xml:space="preserve">3.9 </w:t>
            </w:r>
            <w:r>
              <w:rPr>
                <w:rFonts w:ascii="仿宋_GB2312" w:hAnsi="仿宋_GB2312" w:cs="仿宋_GB2312" w:eastAsia="仿宋_GB2312"/>
                <w:sz w:val="20"/>
                <w:b/>
              </w:rPr>
              <w:t>感官指标：无异味，异臭、异物、色泽正常，光洁平整；</w:t>
            </w:r>
          </w:p>
          <w:p>
            <w:pPr>
              <w:pStyle w:val="null3"/>
            </w:pP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灭菌方式：微波灭菌；</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微生物指标：大肠杆菌、沙门氏菌、金黄色葡萄球菌等均不得检出。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或达到预算金额合同自动终止（每次自接到采购人订单之日起5个日历日内交付采购人并验收合格；采购人库房零库存，须安排专人做到24小时应急配送。采购人需要的临时应急物资，供应商保证2小时内送货到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供货期：自合同签订之日起一年，或达到预算金额合同自动终止，甲方有供货需求时，可向乙方下达订单，乙方应于接到订单后48小时内按甲方订单要求送货至甲方指定地点。如遇特殊情况，须先向甲方通报，得到甲方许可后，在双方商定的时间内将货物送达甲方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供应商需将货物配送至采购人库房入库，服从库管安排,货物入库之后，供应商根据库管发放清单将货物配送至医院各科室。所有搬运工作均由供应商负责完成，所有进入采购人的车辆及人员需报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初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甲方根据乙方供货验收合格数量每三个月结算一次，具体数量以甲方通知、收货验收为准， 乙方开具合规发票，甲方10个工作日内按中标综合单价据实结算，乙方持验收合格单，全额合规发票与甲方结算。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1.货物到达甲方指定地点后，甲方根据合同要求，对产品进行外观验收，确认产品的品牌、规格、型号和数量与合同要求一致。 2.产品安装并正常使用后，由乙方进行自检，合格后，准备验收材料，并书面通知甲方。 3.甲方确认乙方的自检内容后，会同乙方进行整体验收，验收合格后，填写西安市第三医院办公日杂采购项目验收合格单（一式四份）作为对产品的最终认可。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（一）货物到达甲方指定地点后，甲方根据合同要求，对物品进行验收，确认产地、规格、型号和数量。 （二）验收依据： 1、合同及合同附件。 2、国家相应的标准、规范。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免费保修1年，免费保修期内，同一主要部件出现质量问题经过两次维修后仍无法正常使用，可以更换同型号、同规格的产品，服务响应时间不超过2小时，解决问题不超过8小时，对8小时内不能解决的，为不影响甲方正常工作，乙方在2日内免费提供替代产品；若乙方未按照上述约定期限及时解决问题，造成甲方损失的，乙方承担一切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质保期：一年。乙方接到甲方的订单，以2个工作日内送货到达，如2个工作日内未到达，乙方要向甲方赔偿当日订单金额的30%作为补偿，配送从发货到运货、卸货的费用由供货商全部承担。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1.按《民法典》中的相关条款执行。 2.按合同要求提供的产品质量不能满足甲方要求，乙方必须于7日内无条件更换产品并提高技术、完善质量，否则，甲方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合同自书面解除通知到达乙方时解除，合同解除后，乙方须赔偿由此给甲方造成的全部损失，并向甲方支付本合同总价款的5%作为违约金。 3.乙方履约延误 如乙方事先未征得甲方书面同意或谅解而单方面延迟交货，交货期每延迟一天，扣除乙方合同总价款的1%作为违约金。延迟交货10个日历日以上（含10个日历日），将按违约终止合同处理。 4. 本合同在履行过程中发生的争议，由甲乙双方当事人协商解决，协商不成，可依法向甲方所在地人民法院起诉。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（一）按《政府采购法》、《民法典》中的相关条款执行。 （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 违约责任：1、乙方赔偿甲方解除合同的全部损失（包括但不限于重新采购产生的费用、合同未履行导致设备不能按规划交付使用可能产生的租赁费用及其它由此造成的甲方对第三方的违约损失）；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2、乙方支付甲方违约金，违约金计算方法；以合同总价为基数，支付甲方合同总价30%为违约金。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（一）、售后服务要求： 乙方为所供货物提供以下售后服务： （一）质保期内： 1.乙方所供物品发生质量问题，接到甲方通知后，应于当日派出专业的维修人员到现场进行检测维修或更换，发生的全部费用由乙方承担，若需将产品送回生产厂，乙方承担往返费用。 2.乙方定期派安装人员到现场走访，对产品给予检查维护。 3.乙方排除产品问题的期限不得超过4小时，否则甲方有权指定第三方维修，维修费用由乙方承担。 （二）质保期结束前：乙方应对所供产品进行试用，检查所有产品，确保产品正常使用。 （二）采购人和供应商的权利与义务： 1.货物到达甲方指定地点后，甲方根据合同要求，对产品进行外观验收，确认产品的品牌、规格、型号和数量与合同要求一致。 2.产品安装并正常使用后，由乙方进行自检，合格后，准备验收材料，并书面通知甲方。 3.甲方确认乙方的自检内容后，会同乙方进行整体验收，验收合格后，填写西安市第三医院办公日杂采购项目验收合格单（一式四份）作为对产品的最终认可。 4.甲方的权利和义务 4-1.甲方应向乙方指定送货地点，提供必要的基础条件。 4-2.甲方应在乙方全部交货后的2日内的抽样初检，产品检测合格后通知乙方开始安装。乙方全部安装结束之日起10日内，甲方组织验收。 4-3.甲方有权要求乙方按照本合同的条款提供售后保障服务。 5.乙方的权利和义务 5-1.乙方应在合同生效后3个日历日内交货给甲方初验，若乙方不能按期交货的，须提前5日向甲方提出书面申请，并附生产厂商不能按时交货的书面证明，延期交货不得超过10个日历日，若乙方延期交货超过10个日历日（含10个日历日），甲方有权单方解除合同，合同自书面解除通知到达乙方时解除，并按合同第十条第4款之约定追究乙方违约责任。 5-2.乙方应当做好本合同约定的供货、安装和售后服务工作。 5-3.乙方安装过程中要保护甲方财产安全不被损坏，否则全部损失由乙方承担。 5-4.乙方有权要求甲方按期验收，如乙方不能按期交付验收，应征得甲方书面同意，延期验收。 采购包2： 1、质量验收标准或规范：投标货物符合国家强制标准，参考行业标准符合采购需求。 2、质量保证：2.1 供应产品必须是全新，非回收原材料。每批次须提供产品检验报告 2.2外包装箱须出示产品商标，生产厂家信息，产品生产日期，生产批号，灭菌批号，失效期等。 （三）付款方式说明：因电子化交易系统设置、本章3.4.4条款（支付约定）无法修改，为系统线上模板，具体付款方式以合同为准。 （四）结算依据：合同单价一次性包死，据实结算，不受市场价格变化因素的影响。 （五）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（六）需要落实的政府采购政策：（1）、《国务院办公厅关于建立政府强制采购节能产品制度的通知》（国办发〔2007〕51号）；（2）、《财政部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七）采购包2：一次性奶瓶采购样品要求：本标段需提供样品1个。样品须在投标文件递交截止时间（开标时间）前递交至招标代理公司（西安市雁塔区太白南路181号西部电子社区A座A区501招标五部吴岳收，联系方式：18829213991。样品可以邮寄也可以专人派送）。样品要求密封，密封外包装上注明供应商名称、包号。样品参与打分，未提供样品的不得分。关于样品的其他要求详见招标文件。 （八）本项目成交供应商须在领取成交通知书时，线下提供纸质响应文件（正本一份，副本二份，纸质文件需与系统签章版文件保持一致）交由采购代理机构。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供应商基本账户银行出具的资信证明，同时还需提供供应商基本存款账户开户许可证（或基本存款账户信息证明））。或提供专业担保机构出具的投标担保函，供应商需在项目电子化交易系 统中按要求上传相应证明文件；</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w:t>
            </w:r>
          </w:p>
        </w:tc>
        <w:tc>
          <w:tcPr>
            <w:tcW w:type="dxa" w:w="3322"/>
          </w:tcPr>
          <w:p>
            <w:pPr>
              <w:pStyle w:val="null3"/>
            </w:pPr>
            <w:r>
              <w:rPr>
                <w:rFonts w:ascii="仿宋_GB2312" w:hAnsi="仿宋_GB2312" w:cs="仿宋_GB2312" w:eastAsia="仿宋_GB2312"/>
              </w:rPr>
              <w:t>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照上信息须一致），供应商需在项 目电子化交易系统中按要求上传相 应证明文件并进行电子签章；</w:t>
            </w:r>
          </w:p>
        </w:tc>
        <w:tc>
          <w:tcPr>
            <w:tcW w:type="dxa" w:w="1661"/>
          </w:tcPr>
          <w:p>
            <w:pPr>
              <w:pStyle w:val="null3"/>
            </w:pPr>
            <w:r>
              <w:rPr>
                <w:rFonts w:ascii="仿宋_GB2312" w:hAnsi="仿宋_GB2312" w:cs="仿宋_GB2312" w:eastAsia="仿宋_GB2312"/>
              </w:rPr>
              <w:t>二、法定代表人授权委托书.docx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供应商提供诚信声明函，承诺与交叉控股股东、交叉兼任高管的其他供应商未同时参与本项目</w:t>
            </w:r>
          </w:p>
        </w:tc>
        <w:tc>
          <w:tcPr>
            <w:tcW w:type="dxa" w:w="3322"/>
          </w:tcPr>
          <w:p>
            <w:pPr>
              <w:pStyle w:val="null3"/>
            </w:pPr>
            <w:r>
              <w:rPr>
                <w:rFonts w:ascii="仿宋_GB2312" w:hAnsi="仿宋_GB2312" w:cs="仿宋_GB2312" w:eastAsia="仿宋_GB2312"/>
              </w:rPr>
              <w:t>供应商提供诚信声明函，承诺与交叉控股股东、交叉兼任高管的其他供应商未同时参与本项目。供应商需在项目电子化交易系统中按要求上传相应证明文件并进行电子签章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供应商参加政府采购活动前3年内的招投标和政府采购活动中无以行贿手段谋取中标（成交）的行为，并承诺在本次政府采购活动中，不以向采购人、代理机构、评审人员提供利益和好处谋取中标（成交）</w:t>
            </w:r>
          </w:p>
        </w:tc>
        <w:tc>
          <w:tcPr>
            <w:tcW w:type="dxa" w:w="3322"/>
          </w:tcPr>
          <w:p>
            <w:pPr>
              <w:pStyle w:val="null3"/>
            </w:pPr>
            <w:r>
              <w:rPr>
                <w:rFonts w:ascii="仿宋_GB2312" w:hAnsi="仿宋_GB2312" w:cs="仿宋_GB2312" w:eastAsia="仿宋_GB2312"/>
              </w:rPr>
              <w:t>供应商承诺参加政府采购活动前3年内的招投标和政府采购活动中无以行贿手段谋取中标（成交）的行为，并承诺在本次政府采购活动中，不以向采购人、代理机构、评审人员提供利益和好处谋取中标（成交），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供应商非采购人及项目代理机构员工和亲属投资开办的公司，其法人、股东、高级管理人员非采购人单位员工及亲属。采购人、代理机构和供应商之间无相互兼职的情形。</w:t>
            </w:r>
          </w:p>
        </w:tc>
        <w:tc>
          <w:tcPr>
            <w:tcW w:type="dxa" w:w="3322"/>
          </w:tcPr>
          <w:p>
            <w:pPr>
              <w:pStyle w:val="null3"/>
            </w:pPr>
            <w:r>
              <w:rPr>
                <w:rFonts w:ascii="仿宋_GB2312" w:hAnsi="仿宋_GB2312" w:cs="仿宋_GB2312" w:eastAsia="仿宋_GB2312"/>
              </w:rPr>
              <w:t>供应商承诺本公司非采购人及项目代理机构员工和亲属投资开办的公司，其法人、股东、高级管理人员非采购人单位员工及亲属。采购人、代理机构和供应商之间无相互兼职的情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供应商未因为违规违纪被列入市卫健系统或采购人“黑名单”</w:t>
            </w:r>
          </w:p>
        </w:tc>
        <w:tc>
          <w:tcPr>
            <w:tcW w:type="dxa" w:w="3322"/>
          </w:tcPr>
          <w:p>
            <w:pPr>
              <w:pStyle w:val="null3"/>
            </w:pPr>
            <w:r>
              <w:rPr>
                <w:rFonts w:ascii="仿宋_GB2312" w:hAnsi="仿宋_GB2312" w:cs="仿宋_GB2312" w:eastAsia="仿宋_GB2312"/>
              </w:rPr>
              <w:t>供应商未因为违规违纪被列入市卫健系统或采购人“黑名单”，供应商需在项目电子化交易系统中按要求上传相应证明文件并进行电子签章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递交截止后的网站查询记录为准；</w:t>
            </w:r>
          </w:p>
        </w:tc>
        <w:tc>
          <w:tcPr>
            <w:tcW w:type="dxa" w:w="1661"/>
          </w:tcPr>
          <w:p>
            <w:pPr>
              <w:pStyle w:val="null3"/>
            </w:pPr>
            <w:r>
              <w:rPr>
                <w:rFonts w:ascii="仿宋_GB2312" w:hAnsi="仿宋_GB2312" w:cs="仿宋_GB2312" w:eastAsia="仿宋_GB2312"/>
              </w:rPr>
              <w:t>三、资格审查资料.docx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供应商基本账户银行出具的资信证明，同时还需提供供应商基本存款账户开户许可证（或基本存款账户信息证明））。或提供专业担保机构出具的投标担保函，供应商需在项目电子化交易系 统中按要求上传相应证明文件；</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w:t>
            </w:r>
          </w:p>
        </w:tc>
        <w:tc>
          <w:tcPr>
            <w:tcW w:type="dxa" w:w="3322"/>
          </w:tcPr>
          <w:p>
            <w:pPr>
              <w:pStyle w:val="null3"/>
            </w:pPr>
            <w:r>
              <w:rPr>
                <w:rFonts w:ascii="仿宋_GB2312" w:hAnsi="仿宋_GB2312" w:cs="仿宋_GB2312" w:eastAsia="仿宋_GB2312"/>
              </w:rPr>
              <w:t>法定代表人授权书（附法定代表人、被授权人身份证件及被授权人在本单位近三个月内（2026年1月、2026年2月、2026年3月）任意一个月的社保缴纳证明资料）（法定代表人 直接参加的，须提供法定代表人身 份证明及身份证复印件且与营业执 照上信息须一致），供应商需在项 目电子化交易系统中按要求上传相 应证明文件并进行电子签章；</w:t>
            </w:r>
          </w:p>
        </w:tc>
        <w:tc>
          <w:tcPr>
            <w:tcW w:type="dxa" w:w="1661"/>
          </w:tcPr>
          <w:p>
            <w:pPr>
              <w:pStyle w:val="null3"/>
            </w:pPr>
            <w:r>
              <w:rPr>
                <w:rFonts w:ascii="仿宋_GB2312" w:hAnsi="仿宋_GB2312" w:cs="仿宋_GB2312" w:eastAsia="仿宋_GB2312"/>
              </w:rPr>
              <w:t>二、法定代表人授权委托书.docx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供应商提供诚信声明函，承诺与交叉控股股东、交叉兼任高管的其他供应商未同时参与本项目</w:t>
            </w:r>
          </w:p>
        </w:tc>
        <w:tc>
          <w:tcPr>
            <w:tcW w:type="dxa" w:w="3322"/>
          </w:tcPr>
          <w:p>
            <w:pPr>
              <w:pStyle w:val="null3"/>
            </w:pPr>
            <w:r>
              <w:rPr>
                <w:rFonts w:ascii="仿宋_GB2312" w:hAnsi="仿宋_GB2312" w:cs="仿宋_GB2312" w:eastAsia="仿宋_GB2312"/>
              </w:rPr>
              <w:t>供应商提供诚信声明函，承诺与交叉控股股东、交叉兼任高管的其他供应商未同时参与本项目。供应商需在项目电子化交易系统中按要求上传相应证明文件并进行电子签章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3年内的招投标和政府采购活动中无以行贿手段谋取中标（成交）的行为，并承诺在本次政府采购活动中，不以向采购人、代理机构、评审人员提供利益和好处谋取中标（成交）供应商非采购人及项目代理机构员工和亲属投资开办的公司，其法人、股东、高级管理人员非采购人单位员工及亲属。采购人、代理机构和供应商之间无相互兼职的情形。</w:t>
            </w:r>
          </w:p>
        </w:tc>
        <w:tc>
          <w:tcPr>
            <w:tcW w:type="dxa" w:w="3322"/>
          </w:tcPr>
          <w:p>
            <w:pPr>
              <w:pStyle w:val="null3"/>
            </w:pPr>
            <w:r>
              <w:rPr>
                <w:rFonts w:ascii="仿宋_GB2312" w:hAnsi="仿宋_GB2312" w:cs="仿宋_GB2312" w:eastAsia="仿宋_GB2312"/>
              </w:rPr>
              <w:t>供应商承诺参加政府采购活动前3年内的招投标和政府采购活动中无以行贿手段谋取中标（成交）的行为，并承诺在本次政府采购活动中，不以向采购人、代理机构、评审人员提供利益和好处谋取中标（成交），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供应商非采购人及项目代理机构员工和亲属投资开办的公司，其法人、股东、高级管理人员非采购人单位员工及亲属。采购人、代理机构和供应商之间无相互兼职的情形。</w:t>
            </w:r>
          </w:p>
        </w:tc>
        <w:tc>
          <w:tcPr>
            <w:tcW w:type="dxa" w:w="3322"/>
          </w:tcPr>
          <w:p>
            <w:pPr>
              <w:pStyle w:val="null3"/>
            </w:pPr>
            <w:r>
              <w:rPr>
                <w:rFonts w:ascii="仿宋_GB2312" w:hAnsi="仿宋_GB2312" w:cs="仿宋_GB2312" w:eastAsia="仿宋_GB2312"/>
              </w:rPr>
              <w:t>供应商承诺本公司非采购人及项目代理机构员工和亲属投资开办的公司，其法人、股东、高级管理人员非采购人单位员工及亲属。采购人、代理机构和供应商之间无相互兼职的情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供应商未因为违规违纪被列入市卫健系统或采购人“黑名单”</w:t>
            </w:r>
          </w:p>
        </w:tc>
        <w:tc>
          <w:tcPr>
            <w:tcW w:type="dxa" w:w="3322"/>
          </w:tcPr>
          <w:p>
            <w:pPr>
              <w:pStyle w:val="null3"/>
            </w:pPr>
            <w:r>
              <w:rPr>
                <w:rFonts w:ascii="仿宋_GB2312" w:hAnsi="仿宋_GB2312" w:cs="仿宋_GB2312" w:eastAsia="仿宋_GB2312"/>
              </w:rPr>
              <w:t>供应商未因为违规违纪被列入市卫健系统或采购人“黑名单”，供应商需在项目电子化交易系统中按要求上传相应证明文件并进行电子签章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递交截止后的网站查询记录为准；</w:t>
            </w:r>
          </w:p>
        </w:tc>
        <w:tc>
          <w:tcPr>
            <w:tcW w:type="dxa" w:w="1661"/>
          </w:tcPr>
          <w:p>
            <w:pPr>
              <w:pStyle w:val="null3"/>
            </w:pPr>
            <w:r>
              <w:rPr>
                <w:rFonts w:ascii="仿宋_GB2312" w:hAnsi="仿宋_GB2312" w:cs="仿宋_GB2312" w:eastAsia="仿宋_GB2312"/>
              </w:rPr>
              <w:t>三、资格审查资料.docx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此处投标（响应）报价异常低价以投标单价合计金额为准进行核算； 且不允许单项金额0元报价及赠送；</w:t>
            </w:r>
          </w:p>
        </w:tc>
        <w:tc>
          <w:tcPr>
            <w:tcW w:type="dxa" w:w="1661"/>
          </w:tcPr>
          <w:p>
            <w:pPr>
              <w:pStyle w:val="null3"/>
            </w:pPr>
            <w:r>
              <w:rPr>
                <w:rFonts w:ascii="仿宋_GB2312" w:hAnsi="仿宋_GB2312" w:cs="仿宋_GB2312" w:eastAsia="仿宋_GB2312"/>
              </w:rPr>
              <w:t>开标一览表 一、开标一览表.docx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一、开标一览表.docx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满足投标文件要求，无缺漏项，供应商的报价明细表中的投标单价不得高于本项目采购需求中各项单价最高限价。</w:t>
            </w:r>
          </w:p>
        </w:tc>
        <w:tc>
          <w:tcPr>
            <w:tcW w:type="dxa" w:w="1661"/>
          </w:tcPr>
          <w:p>
            <w:pPr>
              <w:pStyle w:val="null3"/>
            </w:pPr>
            <w:r>
              <w:rPr>
                <w:rFonts w:ascii="仿宋_GB2312" w:hAnsi="仿宋_GB2312" w:cs="仿宋_GB2312" w:eastAsia="仿宋_GB2312"/>
              </w:rPr>
              <w:t>开标一览表 一、开标一览表.docx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交货期、质保期、交货地点、付款方式</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一、开标一览表.docx 四、商务响应.docx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（二）不同供应商委托同一单位或者个人办理投标事宜； （三）不同供应商的投标文件载明的项目管理成员或者联系人员为同一人；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此处投标（响应）报价异常低价以投标单价合计金额为准进行核算； 且不允许单项金额0元报价及赠送；</w:t>
            </w:r>
          </w:p>
        </w:tc>
        <w:tc>
          <w:tcPr>
            <w:tcW w:type="dxa" w:w="1661"/>
          </w:tcPr>
          <w:p>
            <w:pPr>
              <w:pStyle w:val="null3"/>
            </w:pPr>
            <w:r>
              <w:rPr>
                <w:rFonts w:ascii="仿宋_GB2312" w:hAnsi="仿宋_GB2312" w:cs="仿宋_GB2312" w:eastAsia="仿宋_GB2312"/>
              </w:rPr>
              <w:t>开标一览表 一、开标一览表.docx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一、开标一览表.docx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满足投标文件要求，无缺漏项，供应商的报价明细表中的投标单价不得高于本项目采购需求中各项单价最高限价。</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交货期、质保期、交货地点、付款方式</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一、开标一览表.docx 四、商务响应.docx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开标一览表 二、法定代表人授权委托书.docx 中小企业声明函 五、技术响应.docx 三、资格审查资料.docx 投标函 残疾人福利性单位声明函 一、开标一览表.docx 六、承诺书.docx 标的清单 投标文件封面 七、响应政府采购政策的证明资料.docx 四、商务响应.docx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技术部分-技术指标</w:t>
            </w:r>
          </w:p>
        </w:tc>
        <w:tc>
          <w:tcPr>
            <w:tcW w:type="dxa" w:w="2492"/>
          </w:tcPr>
          <w:p>
            <w:pPr>
              <w:pStyle w:val="null3"/>
            </w:pPr>
            <w:r>
              <w:rPr>
                <w:rFonts w:ascii="仿宋_GB2312" w:hAnsi="仿宋_GB2312" w:cs="仿宋_GB2312" w:eastAsia="仿宋_GB2312"/>
              </w:rPr>
              <w:t>投标产品技术指标参数清晰、明确，规格型号完全满足招标文件要求（无负偏离）得15分。有1项负偏离扣1分，扣完为止。以技术偏离响应表为准。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技术部分-产品配置</w:t>
            </w:r>
          </w:p>
        </w:tc>
        <w:tc>
          <w:tcPr>
            <w:tcW w:type="dxa" w:w="2492"/>
          </w:tcPr>
          <w:p>
            <w:pPr>
              <w:pStyle w:val="null3"/>
            </w:pPr>
            <w:r>
              <w:rPr>
                <w:rFonts w:ascii="仿宋_GB2312" w:hAnsi="仿宋_GB2312" w:cs="仿宋_GB2312" w:eastAsia="仿宋_GB2312"/>
              </w:rPr>
              <w:t>1.所投产品品牌、型号规格、产地明确得2分，否则不得分。 2.所投产品性能稳定、在行业使用广泛得3分；性能较稳定，在行业使用普遍得2分；性能一般、在行业使用少得1分。未提供得0分；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技术部分-产品可靠性</w:t>
            </w:r>
          </w:p>
        </w:tc>
        <w:tc>
          <w:tcPr>
            <w:tcW w:type="dxa" w:w="2492"/>
          </w:tcPr>
          <w:p>
            <w:pPr>
              <w:pStyle w:val="null3"/>
            </w:pPr>
            <w:r>
              <w:rPr>
                <w:rFonts w:ascii="仿宋_GB2312" w:hAnsi="仿宋_GB2312" w:cs="仿宋_GB2312" w:eastAsia="仿宋_GB2312"/>
              </w:rPr>
              <w:t>投标产品货源渠道合法，产品符合国家、行业标准及有关规定，确保产品性能稳定，无产权纠纷，提供货源渠道合法证明（包括但不限于销售协议、代理协议、原厂授权等），提供5个以上的投标产品货源渠道得3分；提供5个投标产品货源渠道得2分；提供2个投标产品货源渠道得1分；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技术部分-服务方案</w:t>
            </w:r>
          </w:p>
        </w:tc>
        <w:tc>
          <w:tcPr>
            <w:tcW w:type="dxa" w:w="2492"/>
          </w:tcPr>
          <w:p>
            <w:pPr>
              <w:pStyle w:val="null3"/>
            </w:pPr>
            <w:r>
              <w:rPr>
                <w:rFonts w:ascii="仿宋_GB2312" w:hAnsi="仿宋_GB2312" w:cs="仿宋_GB2312" w:eastAsia="仿宋_GB2312"/>
              </w:rPr>
              <w:t>一、评审内容： 针对本项目提出实施方案，方案内容包含：①项目实施人员安排②供货、配送计划及供货车辆配备；③产品验收措施；④货物供货及使用期间可能会发生的故障及故障发生后的响应时间及补救措施。 二、评审标准： 1、完整性：内容必须全面，对评审内容中的各项要求有详细描述； 2、可实施性：切合本项目实际情况，提出清晰、合理的内容； 3、针对性：内容能够紧扣项目实际情况，内容科学合理。 三、赋分标准（满分18分） ①项目实施人员安排：每完全满足一项评审标准，每项得1分，满分3分； ②供货、配送计划及供货车辆配备：每完全满足一项评审标准，每项得2分，若每一项评审标准响应相对一般，每项得1分，满分6分； ③产品验收措施：每完全满足一项评审标准，每项得1分，满分3分； ④货物供货及使用期间可能会发生的故障及故障发生后的响应时间及补救措施：每完全满足一项评审标准，每项得2分，若每一项评审标准响应相对一般，每项得1分，满分6分；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技术部分-保证措施</w:t>
            </w:r>
          </w:p>
        </w:tc>
        <w:tc>
          <w:tcPr>
            <w:tcW w:type="dxa" w:w="2492"/>
          </w:tcPr>
          <w:p>
            <w:pPr>
              <w:pStyle w:val="null3"/>
            </w:pPr>
            <w:r>
              <w:rPr>
                <w:rFonts w:ascii="仿宋_GB2312" w:hAnsi="仿宋_GB2312" w:cs="仿宋_GB2312" w:eastAsia="仿宋_GB2312"/>
              </w:rPr>
              <w:t>一、评审内容： 针对本项目提出保证措施，内容包含但不限于：①产品质量保证措施：对供应商提供的质量保证措施（包括但不限于产品性能符合国家标准和磋商文件的要求，提供质量保证承诺等）；部分产品（至少10种）提供生产厂家确认的、相应的证明材料（包括但不限于检验报告、官网和功能截图等）②项目进度保证措施； 二、评审标准： 1、完整性：内容必须全面，对评审内容中的各项要求有详细描述； 2、可实施性：切合本项目实际情况，提出清晰、合理的内容； 3、针对性：内容能够紧扣项目实际情况，内容科学合理。 三、赋分标准（满分12分） ①产品质量保证措施：每完全满足一项评审标准，每项得3分，若每一项评审标准响应相对一般，每项得2分，若每一项评审标准响应相对内容空泛，资料缺少严重，每项得1分，满分9分； ②项目进度保证措施：每完全满足一项评审标准每项得1分，满分3分；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商务部分-售后服务</w:t>
            </w:r>
          </w:p>
        </w:tc>
        <w:tc>
          <w:tcPr>
            <w:tcW w:type="dxa" w:w="2492"/>
          </w:tcPr>
          <w:p>
            <w:pPr>
              <w:pStyle w:val="null3"/>
            </w:pPr>
            <w:r>
              <w:rPr>
                <w:rFonts w:ascii="仿宋_GB2312" w:hAnsi="仿宋_GB2312" w:cs="仿宋_GB2312" w:eastAsia="仿宋_GB2312"/>
              </w:rPr>
              <w:t>一、评审内容： 针对本项目提出售后服务内容包含但不限于：①售后服务机构及售后服务人员名单、联系电话；②备品备件供应服务：包括但不限于备品备件清单，库房场地等③售后服务响应时间及售后服务范围等的承诺。 二、评审标准： 1、完整性：内容必须全面，对评审内容中的各项要求有详细描述； 2、可实施性：切合本项目实际情况，提出清晰、合理的内容； 3、针对性：内容能够紧扣项目实际情况，内容科学合理。 三、赋分标准（满分12分） ①售后服务机构及售后服务人员名单、联系电话：每完全满足一项评审标准，每项得1分，满分3分； ②备品备件供应服务：每完全满足一项评审标准每项得1分，满分3分； ③售后服务响应时间及售后服务范围等的承诺：每完全满足一项评审标准，每项得2分，若每一项评审标准响应相对一般，每项得1分，满分6分；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商务部分-业绩</w:t>
            </w:r>
          </w:p>
        </w:tc>
        <w:tc>
          <w:tcPr>
            <w:tcW w:type="dxa" w:w="2492"/>
          </w:tcPr>
          <w:p>
            <w:pPr>
              <w:pStyle w:val="null3"/>
            </w:pPr>
            <w:r>
              <w:rPr>
                <w:rFonts w:ascii="仿宋_GB2312" w:hAnsi="仿宋_GB2312" w:cs="仿宋_GB2312" w:eastAsia="仿宋_GB2312"/>
              </w:rPr>
              <w:t>供应商提供自2023年01月01日以来同类项目业绩，每提供一份有效业绩证明文件1份，得1分，满分5分。（合同以加盖供应商公章的合同复印件为准）。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采用低价优先法计算，即满足招标文件要求且最后报价最低的供应商的价格为基准价，其价格分为满分。投标报价得分=(基准价/投标报价)x30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技术部分-技术指标</w:t>
            </w:r>
          </w:p>
        </w:tc>
        <w:tc>
          <w:tcPr>
            <w:tcW w:type="dxa" w:w="2492"/>
          </w:tcPr>
          <w:p>
            <w:pPr>
              <w:pStyle w:val="null3"/>
            </w:pPr>
            <w:r>
              <w:rPr>
                <w:rFonts w:ascii="仿宋_GB2312" w:hAnsi="仿宋_GB2312" w:cs="仿宋_GB2312" w:eastAsia="仿宋_GB2312"/>
              </w:rPr>
              <w:t>投标产品技术指标参数清晰、明确，规格型号完全满足招标文件要求（无负偏离）得10分。有1项负偏离扣1分，扣完为止。供应商须提供相关技术指标证明材料予以佐证。证明材料不限于检测报告、试验报告、产品彩页、厂家出具的技术证明文件、功能截图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技术部分-产品可靠性</w:t>
            </w:r>
          </w:p>
        </w:tc>
        <w:tc>
          <w:tcPr>
            <w:tcW w:type="dxa" w:w="2492"/>
          </w:tcPr>
          <w:p>
            <w:pPr>
              <w:pStyle w:val="null3"/>
            </w:pPr>
            <w:r>
              <w:rPr>
                <w:rFonts w:ascii="仿宋_GB2312" w:hAnsi="仿宋_GB2312" w:cs="仿宋_GB2312" w:eastAsia="仿宋_GB2312"/>
              </w:rPr>
              <w:t>一、评审内容 根据各供应商提供的产品可靠性方案包括①产品工艺；②产品生 产流程、制作工艺；③投标产品的设计、美观性、环保性、耐用 性情况； 二、评审标准 1、完整性：内容必须全面，对评审内容中的各项要求有详细描述； 2、可实施性：切合本项目实际情况，提出清晰、合理的内容； 三、赋分标准（满分9分） ①产品工艺：每完全满足一项评审标准，每项得1分，满分3分； ②产品生产流程、制作工艺：每完全满足一项评审标准每项得1分，满分3分； ③投标产品的设计、美观性、环保性、耐用 性情况：每完全满足一项评审标准每项得1分，满分3分；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技术部分-货物来源渠道</w:t>
            </w:r>
          </w:p>
        </w:tc>
        <w:tc>
          <w:tcPr>
            <w:tcW w:type="dxa" w:w="2492"/>
          </w:tcPr>
          <w:p>
            <w:pPr>
              <w:pStyle w:val="null3"/>
            </w:pPr>
            <w:r>
              <w:rPr>
                <w:rFonts w:ascii="仿宋_GB2312" w:hAnsi="仿宋_GB2312" w:cs="仿宋_GB2312" w:eastAsia="仿宋_GB2312"/>
              </w:rPr>
              <w:t>投标产品货源渠道合法，产品符合国家、行业标准及有关规定，确保产品性能稳定，无产权纠纷，提供货源渠道合法证明（包括但不限于销售协议、代理协议、原厂授权等）得2分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技术部分-供货方案</w:t>
            </w:r>
          </w:p>
        </w:tc>
        <w:tc>
          <w:tcPr>
            <w:tcW w:type="dxa" w:w="2492"/>
          </w:tcPr>
          <w:p>
            <w:pPr>
              <w:pStyle w:val="null3"/>
            </w:pPr>
            <w:r>
              <w:rPr>
                <w:rFonts w:ascii="仿宋_GB2312" w:hAnsi="仿宋_GB2312" w:cs="仿宋_GB2312" w:eastAsia="仿宋_GB2312"/>
              </w:rPr>
              <w:t>一、评审内容： 针对本项目提出实施方案，方案内容包含：①项目实施人员安排②供货、配送计划及供货车辆配备；③产品验收措施；④货物供货及使用期间可能会发生的故障及故障发生后的响应时间及调配更换措施。 二、评审标准： 1、完整性：内容必须全面，对评审内容中的各项要求有详细描述； 2、可实施性：切合本项目实际情况，提出清晰、合理的内容； 3、针对性：内容能够紧扣项目实际情况，内容科学合理。 三、赋分标准（满分12分） ①项目实施人员安排：每完全满足一项评审标准，每项得1分，满分3分； ②供货、配送计划及供货车辆配备：每完全满足一项评审标准，每项得1分，满分3分； ③产品验收措施：每完全满足一项评审标准，每项得1分，满分3分； ④货物供货及使用期间可能会发生的故障及故障发生后的响应时间及调配更换措施：每完全满足一项评审标准，每项得1分，满分3分；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技术部分-保证措施</w:t>
            </w:r>
          </w:p>
        </w:tc>
        <w:tc>
          <w:tcPr>
            <w:tcW w:type="dxa" w:w="2492"/>
          </w:tcPr>
          <w:p>
            <w:pPr>
              <w:pStyle w:val="null3"/>
            </w:pPr>
            <w:r>
              <w:rPr>
                <w:rFonts w:ascii="仿宋_GB2312" w:hAnsi="仿宋_GB2312" w:cs="仿宋_GB2312" w:eastAsia="仿宋_GB2312"/>
              </w:rPr>
              <w:t>一、评审内容： 针对本项目提出保证措施，内容包含但不限于：①产品质量保证措施：对供应商提供的质量保证措施（包括但不限于产品性能符合国家标准和招标文件的要求，提供质量保证承诺等）；②项目进度保证措施； 二、评审标准： 1、完整性：内容必须全面，对评审内容中的各项要求有详细描述； 2、可实施性：切合本项目实际情况，提出清晰、合理的内容； 3、针对性：内容能够紧扣项目实际情况，内容科学合理。 三、赋分标准（满分6分） ①产品质量保证措施：每完全满足一项评审标准，每项得1分，满分3分； ②项目进度保证措施：每完全满足一项评审标准每项得1分，满分3分；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技术部分-样品</w:t>
            </w:r>
          </w:p>
        </w:tc>
        <w:tc>
          <w:tcPr>
            <w:tcW w:type="dxa" w:w="2492"/>
          </w:tcPr>
          <w:p>
            <w:pPr>
              <w:pStyle w:val="null3"/>
            </w:pPr>
            <w:r>
              <w:rPr>
                <w:rFonts w:ascii="仿宋_GB2312" w:hAnsi="仿宋_GB2312" w:cs="仿宋_GB2312" w:eastAsia="仿宋_GB2312"/>
              </w:rPr>
              <w:t>根据供应商提供样品的质量、包装、形状、材料、透明度、美观度等方面进行评审。样品每有一项内容相对一般，扣 1 分， 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商务部分-售后服务</w:t>
            </w:r>
          </w:p>
        </w:tc>
        <w:tc>
          <w:tcPr>
            <w:tcW w:type="dxa" w:w="2492"/>
          </w:tcPr>
          <w:p>
            <w:pPr>
              <w:pStyle w:val="null3"/>
            </w:pPr>
            <w:r>
              <w:rPr>
                <w:rFonts w:ascii="仿宋_GB2312" w:hAnsi="仿宋_GB2312" w:cs="仿宋_GB2312" w:eastAsia="仿宋_GB2312"/>
              </w:rPr>
              <w:t>一、评审内容： 针对本项目提出售后服务内容包含但不限于：①售后服务机构及售后服务人员名单、联系电话；②备品备件供应服务：包括但不限于备品备件清单，库房场地等③售后服务响应时间及售后服务范围等的承诺。 二、评审标准： 1、完整性：内容必须全面，对评审内容中的各项要求有详细描述； 2、可实施性：切合本项目实际情况，提出清晰、合理的内容； 3、针对性：内容能够紧扣项目实际情况，内容科学合理。 三、赋分标准（满分12分） ①售后服务机构及售后服务人员名单、联系电话：每完全满足一项评审标准，每项得1分，满分3分； ②备品备件供应服务：每完全满足一项评审标准每项得1分，满分3分； ④售后服务响应时间及售后服务范围等的承诺：每完全满足一项评审标准，每项得2分，若每一项评审标准响应相对一般，每项得1分，满分6分；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vMerge/>
          </w:tcPr>
          <w:p/>
        </w:tc>
        <w:tc>
          <w:tcPr>
            <w:tcW w:type="dxa" w:w="1661"/>
          </w:tcPr>
          <w:p>
            <w:pPr>
              <w:pStyle w:val="null3"/>
            </w:pPr>
            <w:r>
              <w:rPr>
                <w:rFonts w:ascii="仿宋_GB2312" w:hAnsi="仿宋_GB2312" w:cs="仿宋_GB2312" w:eastAsia="仿宋_GB2312"/>
              </w:rPr>
              <w:t>商务部分-业绩</w:t>
            </w:r>
          </w:p>
        </w:tc>
        <w:tc>
          <w:tcPr>
            <w:tcW w:type="dxa" w:w="2492"/>
          </w:tcPr>
          <w:p>
            <w:pPr>
              <w:pStyle w:val="null3"/>
            </w:pPr>
            <w:r>
              <w:rPr>
                <w:rFonts w:ascii="仿宋_GB2312" w:hAnsi="仿宋_GB2312" w:cs="仿宋_GB2312" w:eastAsia="仿宋_GB2312"/>
              </w:rPr>
              <w:t>供应商提供自2023年01月01日以来同类项目业绩，每提供1份有效业绩得2分，满分10分。（合同以加盖供应商公章的合同复印件为准）。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四、商务响应.docx</w:t>
            </w:r>
          </w:p>
          <w:p>
            <w:pPr>
              <w:pStyle w:val="null3"/>
            </w:pPr>
            <w:r>
              <w:rPr>
                <w:rFonts w:ascii="仿宋_GB2312" w:hAnsi="仿宋_GB2312" w:cs="仿宋_GB2312" w:eastAsia="仿宋_GB2312"/>
              </w:rPr>
              <w:t>五、技术响应.docx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采用低价优先法计算，即满足招标文件要求且最后报价最低的供应商的价格为基准价，其价格分为满分。投标报价得分=(基准价/投标报价)x30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详见附件：二、法定代表人授权委托书.docx</w:t>
      </w:r>
    </w:p>
    <w:p>
      <w:pPr>
        <w:pStyle w:val="null3"/>
        <w:ind w:firstLine="960"/>
      </w:pPr>
      <w:r>
        <w:rPr>
          <w:rFonts w:ascii="仿宋_GB2312" w:hAnsi="仿宋_GB2312" w:cs="仿宋_GB2312" w:eastAsia="仿宋_GB2312"/>
        </w:rPr>
        <w:t>详见附件：三、资格审查资料.docx</w:t>
      </w:r>
    </w:p>
    <w:p>
      <w:pPr>
        <w:pStyle w:val="null3"/>
        <w:ind w:firstLine="960"/>
      </w:pPr>
      <w:r>
        <w:rPr>
          <w:rFonts w:ascii="仿宋_GB2312" w:hAnsi="仿宋_GB2312" w:cs="仿宋_GB2312" w:eastAsia="仿宋_GB2312"/>
        </w:rPr>
        <w:t>详见附件：四、商务响应.docx</w:t>
      </w:r>
    </w:p>
    <w:p>
      <w:pPr>
        <w:pStyle w:val="null3"/>
        <w:ind w:firstLine="960"/>
      </w:pPr>
      <w:r>
        <w:rPr>
          <w:rFonts w:ascii="仿宋_GB2312" w:hAnsi="仿宋_GB2312" w:cs="仿宋_GB2312" w:eastAsia="仿宋_GB2312"/>
        </w:rPr>
        <w:t>详见附件：五、技术响应.docx</w:t>
      </w:r>
    </w:p>
    <w:p>
      <w:pPr>
        <w:pStyle w:val="null3"/>
        <w:ind w:firstLine="960"/>
      </w:pPr>
      <w:r>
        <w:rPr>
          <w:rFonts w:ascii="仿宋_GB2312" w:hAnsi="仿宋_GB2312" w:cs="仿宋_GB2312" w:eastAsia="仿宋_GB2312"/>
        </w:rPr>
        <w:t>详见附件：六、承诺书.docx</w:t>
      </w:r>
    </w:p>
    <w:p>
      <w:pPr>
        <w:pStyle w:val="null3"/>
        <w:ind w:firstLine="960"/>
      </w:pPr>
      <w:r>
        <w:rPr>
          <w:rFonts w:ascii="仿宋_GB2312" w:hAnsi="仿宋_GB2312" w:cs="仿宋_GB2312" w:eastAsia="仿宋_GB2312"/>
        </w:rPr>
        <w:t>详见附件：七、响应政府采购政策的证明资料.docx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详见附件：二、法定代表人授权委托书.docx</w:t>
      </w:r>
    </w:p>
    <w:p>
      <w:pPr>
        <w:pStyle w:val="null3"/>
        <w:ind w:firstLine="960"/>
      </w:pPr>
      <w:r>
        <w:rPr>
          <w:rFonts w:ascii="仿宋_GB2312" w:hAnsi="仿宋_GB2312" w:cs="仿宋_GB2312" w:eastAsia="仿宋_GB2312"/>
        </w:rPr>
        <w:t>详见附件：三、资格审查资料.docx</w:t>
      </w:r>
    </w:p>
    <w:p>
      <w:pPr>
        <w:pStyle w:val="null3"/>
        <w:ind w:firstLine="960"/>
      </w:pPr>
      <w:r>
        <w:rPr>
          <w:rFonts w:ascii="仿宋_GB2312" w:hAnsi="仿宋_GB2312" w:cs="仿宋_GB2312" w:eastAsia="仿宋_GB2312"/>
        </w:rPr>
        <w:t>详见附件：四、商务响应.docx</w:t>
      </w:r>
    </w:p>
    <w:p>
      <w:pPr>
        <w:pStyle w:val="null3"/>
        <w:ind w:firstLine="960"/>
      </w:pPr>
      <w:r>
        <w:rPr>
          <w:rFonts w:ascii="仿宋_GB2312" w:hAnsi="仿宋_GB2312" w:cs="仿宋_GB2312" w:eastAsia="仿宋_GB2312"/>
        </w:rPr>
        <w:t>详见附件：五、技术响应.docx</w:t>
      </w:r>
    </w:p>
    <w:p>
      <w:pPr>
        <w:pStyle w:val="null3"/>
        <w:ind w:firstLine="960"/>
      </w:pPr>
      <w:r>
        <w:rPr>
          <w:rFonts w:ascii="仿宋_GB2312" w:hAnsi="仿宋_GB2312" w:cs="仿宋_GB2312" w:eastAsia="仿宋_GB2312"/>
        </w:rPr>
        <w:t>详见附件：六、承诺书.docx</w:t>
      </w:r>
    </w:p>
    <w:p>
      <w:pPr>
        <w:pStyle w:val="null3"/>
        <w:ind w:firstLine="960"/>
      </w:pPr>
      <w:r>
        <w:rPr>
          <w:rFonts w:ascii="仿宋_GB2312" w:hAnsi="仿宋_GB2312" w:cs="仿宋_GB2312" w:eastAsia="仿宋_GB2312"/>
        </w:rPr>
        <w:t>详见附件：七、响应政府采购政策的证明资料.docx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详见附件：2025年办公日杂采购及一次性奶瓶项目拟签订合同.docx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