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560" w:tblpY="1834"/>
        <w:tblOverlap w:val="never"/>
        <w:tblW w:w="9235"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235"/>
      </w:tblGrid>
      <w:tr w14:paraId="5478750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665" w:hRule="atLeast"/>
        </w:trPr>
        <w:tc>
          <w:tcPr>
            <w:tcW w:w="9235" w:type="dxa"/>
            <w:noWrap w:val="0"/>
            <w:vAlign w:val="top"/>
          </w:tcPr>
          <w:p w14:paraId="07318334">
            <w:pPr>
              <w:spacing w:before="162" w:line="231" w:lineRule="auto"/>
              <w:ind w:left="263"/>
              <w:rPr>
                <w:rFonts w:hint="eastAsia" w:ascii="仿宋" w:hAnsi="仿宋" w:eastAsia="仿宋" w:cs="仿宋"/>
                <w:color w:val="auto"/>
                <w:sz w:val="21"/>
                <w:szCs w:val="21"/>
              </w:rPr>
            </w:pPr>
            <w:r>
              <w:rPr>
                <w:rFonts w:hint="eastAsia" w:ascii="仿宋" w:hAnsi="仿宋" w:eastAsia="仿宋" w:cs="仿宋"/>
                <w:color w:val="auto"/>
                <w:spacing w:val="-1"/>
                <w:sz w:val="21"/>
                <w:szCs w:val="21"/>
              </w:rPr>
              <w:t>注释：</w:t>
            </w:r>
          </w:p>
          <w:p w14:paraId="48549233">
            <w:pPr>
              <w:spacing w:before="221" w:line="383" w:lineRule="auto"/>
              <w:ind w:left="119" w:right="101" w:firstLine="481"/>
              <w:rPr>
                <w:rFonts w:hint="eastAsia" w:ascii="仿宋" w:hAnsi="仿宋" w:eastAsia="仿宋" w:cs="仿宋"/>
                <w:color w:val="auto"/>
                <w:sz w:val="23"/>
                <w:szCs w:val="23"/>
              </w:rPr>
            </w:pPr>
            <w:r>
              <w:rPr>
                <w:rFonts w:hint="eastAsia" w:ascii="仿宋" w:hAnsi="仿宋" w:eastAsia="仿宋" w:cs="仿宋"/>
                <w:color w:val="auto"/>
                <w:spacing w:val="12"/>
                <w:sz w:val="21"/>
                <w:szCs w:val="21"/>
              </w:rPr>
              <w:t>本格式条</w:t>
            </w:r>
            <w:r>
              <w:rPr>
                <w:rFonts w:hint="eastAsia" w:ascii="仿宋" w:hAnsi="仿宋" w:eastAsia="仿宋" w:cs="仿宋"/>
                <w:color w:val="auto"/>
                <w:spacing w:val="8"/>
                <w:sz w:val="21"/>
                <w:szCs w:val="21"/>
              </w:rPr>
              <w:t>款</w:t>
            </w:r>
            <w:r>
              <w:rPr>
                <w:rFonts w:hint="eastAsia" w:ascii="仿宋" w:hAnsi="仿宋" w:eastAsia="仿宋" w:cs="仿宋"/>
                <w:color w:val="auto"/>
                <w:spacing w:val="6"/>
                <w:sz w:val="21"/>
                <w:szCs w:val="21"/>
              </w:rPr>
              <w:t>仅作为双方签订合同的参考，为阐明各方的权利和义务，经协商可增加</w:t>
            </w:r>
            <w:r>
              <w:rPr>
                <w:rFonts w:hint="eastAsia" w:ascii="仿宋" w:hAnsi="仿宋" w:eastAsia="仿宋" w:cs="仿宋"/>
                <w:color w:val="auto"/>
                <w:sz w:val="21"/>
                <w:szCs w:val="21"/>
              </w:rPr>
              <w:t xml:space="preserve"> </w:t>
            </w:r>
            <w:r>
              <w:rPr>
                <w:rFonts w:hint="eastAsia" w:ascii="仿宋" w:hAnsi="仿宋" w:eastAsia="仿宋" w:cs="仿宋"/>
                <w:color w:val="auto"/>
                <w:spacing w:val="7"/>
                <w:sz w:val="21"/>
                <w:szCs w:val="21"/>
              </w:rPr>
              <w:t>新的条款。合同的标的、价款、付款方式、质量、履行期限等主要条款应当与</w:t>
            </w:r>
            <w:r>
              <w:rPr>
                <w:rFonts w:hint="eastAsia" w:ascii="仿宋" w:hAnsi="仿宋" w:eastAsia="仿宋" w:cs="仿宋"/>
                <w:color w:val="auto"/>
                <w:spacing w:val="7"/>
                <w:sz w:val="21"/>
                <w:szCs w:val="21"/>
                <w:lang w:val="en-US" w:eastAsia="zh-CN"/>
              </w:rPr>
              <w:t>磋商文件</w:t>
            </w:r>
            <w:r>
              <w:rPr>
                <w:rFonts w:hint="eastAsia" w:ascii="仿宋" w:hAnsi="仿宋" w:eastAsia="仿宋" w:cs="仿宋"/>
                <w:color w:val="auto"/>
                <w:spacing w:val="7"/>
                <w:sz w:val="21"/>
                <w:szCs w:val="21"/>
              </w:rPr>
              <w:t>和</w:t>
            </w:r>
            <w:r>
              <w:rPr>
                <w:rFonts w:hint="eastAsia" w:ascii="仿宋" w:hAnsi="仿宋" w:eastAsia="仿宋" w:cs="仿宋"/>
                <w:color w:val="auto"/>
                <w:spacing w:val="7"/>
                <w:sz w:val="21"/>
                <w:szCs w:val="21"/>
                <w:lang w:val="en-US" w:eastAsia="zh-CN"/>
              </w:rPr>
              <w:t>成交</w:t>
            </w:r>
            <w:r>
              <w:rPr>
                <w:rFonts w:hint="eastAsia" w:ascii="仿宋" w:hAnsi="仿宋" w:eastAsia="仿宋" w:cs="仿宋"/>
                <w:color w:val="auto"/>
                <w:spacing w:val="7"/>
                <w:sz w:val="21"/>
                <w:szCs w:val="21"/>
              </w:rPr>
              <w:t>供应商的</w:t>
            </w:r>
            <w:r>
              <w:rPr>
                <w:rFonts w:hint="eastAsia" w:ascii="仿宋" w:hAnsi="仿宋" w:eastAsia="仿宋" w:cs="仿宋"/>
                <w:color w:val="auto"/>
                <w:spacing w:val="7"/>
                <w:sz w:val="21"/>
                <w:szCs w:val="21"/>
                <w:lang w:val="en-US" w:eastAsia="zh-CN"/>
              </w:rPr>
              <w:t>响应</w:t>
            </w:r>
            <w:r>
              <w:rPr>
                <w:rFonts w:hint="eastAsia" w:ascii="仿宋" w:hAnsi="仿宋" w:eastAsia="仿宋" w:cs="仿宋"/>
                <w:color w:val="auto"/>
                <w:spacing w:val="7"/>
                <w:sz w:val="21"/>
                <w:szCs w:val="21"/>
              </w:rPr>
              <w:t>文件的内容一致，采购人和</w:t>
            </w:r>
            <w:r>
              <w:rPr>
                <w:rFonts w:hint="eastAsia" w:ascii="仿宋" w:hAnsi="仿宋" w:eastAsia="仿宋" w:cs="仿宋"/>
                <w:color w:val="auto"/>
                <w:spacing w:val="7"/>
                <w:sz w:val="21"/>
                <w:szCs w:val="21"/>
                <w:lang w:val="en-US" w:eastAsia="zh-CN"/>
              </w:rPr>
              <w:t>成交</w:t>
            </w:r>
            <w:r>
              <w:rPr>
                <w:rFonts w:hint="eastAsia" w:ascii="仿宋" w:hAnsi="仿宋" w:eastAsia="仿宋" w:cs="仿宋"/>
                <w:color w:val="auto"/>
                <w:spacing w:val="7"/>
                <w:sz w:val="21"/>
                <w:szCs w:val="21"/>
              </w:rPr>
              <w:t>供应商不得再行订立背离合同实</w:t>
            </w:r>
            <w:r>
              <w:rPr>
                <w:rFonts w:hint="eastAsia" w:ascii="仿宋" w:hAnsi="仿宋" w:eastAsia="仿宋" w:cs="仿宋"/>
                <w:color w:val="auto"/>
                <w:spacing w:val="5"/>
                <w:sz w:val="21"/>
                <w:szCs w:val="21"/>
              </w:rPr>
              <w:t>质</w:t>
            </w:r>
            <w:r>
              <w:rPr>
                <w:rFonts w:hint="eastAsia" w:ascii="仿宋" w:hAnsi="仿宋" w:eastAsia="仿宋" w:cs="仿宋"/>
                <w:color w:val="auto"/>
                <w:spacing w:val="8"/>
                <w:sz w:val="21"/>
                <w:szCs w:val="21"/>
              </w:rPr>
              <w:t>性</w:t>
            </w:r>
            <w:r>
              <w:rPr>
                <w:rFonts w:hint="eastAsia" w:ascii="仿宋" w:hAnsi="仿宋" w:eastAsia="仿宋" w:cs="仿宋"/>
                <w:color w:val="auto"/>
                <w:spacing w:val="7"/>
                <w:sz w:val="21"/>
                <w:szCs w:val="21"/>
              </w:rPr>
              <w:t>内容的其他协议。</w:t>
            </w:r>
          </w:p>
        </w:tc>
      </w:tr>
    </w:tbl>
    <w:p w14:paraId="32631095">
      <w:pPr>
        <w:rPr>
          <w:rFonts w:hint="eastAsia" w:ascii="仿宋" w:hAnsi="仿宋" w:eastAsia="仿宋" w:cs="仿宋"/>
          <w:b/>
          <w:spacing w:val="-20"/>
          <w:sz w:val="48"/>
          <w:szCs w:val="48"/>
        </w:rPr>
      </w:pPr>
      <w:r>
        <w:rPr>
          <w:rFonts w:hint="eastAsia" w:ascii="仿宋" w:hAnsi="仿宋" w:eastAsia="仿宋" w:cs="仿宋"/>
          <w:b/>
          <w:spacing w:val="-20"/>
          <w:sz w:val="48"/>
          <w:szCs w:val="48"/>
        </w:rPr>
        <w:br w:type="page"/>
      </w:r>
    </w:p>
    <w:p w14:paraId="375F6A1B">
      <w:pPr>
        <w:spacing w:line="360" w:lineRule="auto"/>
        <w:jc w:val="center"/>
        <w:rPr>
          <w:rFonts w:hint="eastAsia" w:ascii="仿宋" w:hAnsi="仿宋" w:eastAsia="仿宋" w:cs="仿宋"/>
          <w:b/>
          <w:spacing w:val="-20"/>
          <w:sz w:val="44"/>
          <w:szCs w:val="44"/>
          <w:lang w:eastAsia="zh-CN"/>
        </w:rPr>
      </w:pPr>
      <w:r>
        <w:rPr>
          <w:rFonts w:hint="eastAsia" w:ascii="仿宋" w:hAnsi="仿宋" w:eastAsia="仿宋" w:cs="仿宋"/>
          <w:b/>
          <w:spacing w:val="-20"/>
          <w:sz w:val="44"/>
          <w:szCs w:val="44"/>
          <w:lang w:eastAsia="zh-CN"/>
        </w:rPr>
        <w:t>米家崖及西大街交易大厅协助运维项目</w:t>
      </w:r>
    </w:p>
    <w:p w14:paraId="74E84FCA">
      <w:pPr>
        <w:jc w:val="center"/>
        <w:rPr>
          <w:rFonts w:hint="eastAsia" w:ascii="仿宋" w:hAnsi="仿宋" w:eastAsia="仿宋" w:cs="仿宋"/>
          <w:b/>
          <w:sz w:val="72"/>
          <w:szCs w:val="72"/>
        </w:rPr>
      </w:pPr>
    </w:p>
    <w:p w14:paraId="159B8785">
      <w:pPr>
        <w:jc w:val="center"/>
        <w:rPr>
          <w:rFonts w:hint="eastAsia" w:ascii="仿宋" w:hAnsi="仿宋" w:eastAsia="仿宋" w:cs="仿宋"/>
          <w:b/>
          <w:sz w:val="52"/>
          <w:szCs w:val="52"/>
        </w:rPr>
      </w:pPr>
      <w:r>
        <w:rPr>
          <w:rFonts w:hint="eastAsia" w:ascii="仿宋" w:hAnsi="仿宋" w:eastAsia="仿宋" w:cs="仿宋"/>
          <w:b/>
          <w:sz w:val="52"/>
          <w:szCs w:val="52"/>
        </w:rPr>
        <w:t>采 购 合 同</w:t>
      </w:r>
    </w:p>
    <w:p w14:paraId="065F1DAE">
      <w:pPr>
        <w:spacing w:line="360" w:lineRule="auto"/>
        <w:ind w:firstLine="3300" w:firstLineChars="1100"/>
        <w:rPr>
          <w:rFonts w:hint="eastAsia" w:ascii="仿宋" w:hAnsi="仿宋" w:eastAsia="仿宋" w:cs="仿宋"/>
          <w:sz w:val="24"/>
          <w:szCs w:val="24"/>
        </w:rPr>
      </w:pPr>
      <w:r>
        <w:rPr>
          <w:rFonts w:hint="eastAsia" w:ascii="仿宋" w:hAnsi="仿宋" w:eastAsia="仿宋" w:cs="仿宋"/>
          <w:sz w:val="30"/>
          <w:szCs w:val="30"/>
        </w:rPr>
        <w:t>项目编号：</w:t>
      </w:r>
    </w:p>
    <w:p w14:paraId="63B474DD">
      <w:pPr>
        <w:jc w:val="center"/>
        <w:rPr>
          <w:rFonts w:hint="eastAsia" w:ascii="仿宋" w:hAnsi="仿宋" w:eastAsia="仿宋" w:cs="仿宋"/>
          <w:sz w:val="30"/>
          <w:szCs w:val="30"/>
        </w:rPr>
      </w:pPr>
    </w:p>
    <w:p w14:paraId="0A0E616D">
      <w:pPr>
        <w:jc w:val="center"/>
        <w:rPr>
          <w:rFonts w:hint="eastAsia" w:ascii="仿宋" w:hAnsi="仿宋" w:eastAsia="仿宋" w:cs="仿宋"/>
          <w:sz w:val="30"/>
          <w:szCs w:val="30"/>
        </w:rPr>
      </w:pPr>
    </w:p>
    <w:p w14:paraId="367067FD">
      <w:pPr>
        <w:jc w:val="center"/>
        <w:rPr>
          <w:rFonts w:hint="eastAsia" w:ascii="仿宋" w:hAnsi="仿宋" w:eastAsia="仿宋" w:cs="仿宋"/>
          <w:sz w:val="30"/>
          <w:szCs w:val="30"/>
        </w:rPr>
      </w:pPr>
    </w:p>
    <w:p w14:paraId="1B06580C">
      <w:pPr>
        <w:jc w:val="center"/>
        <w:rPr>
          <w:rFonts w:hint="eastAsia" w:ascii="仿宋" w:hAnsi="仿宋" w:eastAsia="仿宋" w:cs="仿宋"/>
          <w:sz w:val="30"/>
          <w:szCs w:val="30"/>
        </w:rPr>
      </w:pPr>
    </w:p>
    <w:p w14:paraId="4AB36C73">
      <w:pPr>
        <w:jc w:val="center"/>
        <w:rPr>
          <w:rFonts w:hint="eastAsia" w:ascii="仿宋" w:hAnsi="仿宋" w:eastAsia="仿宋" w:cs="仿宋"/>
          <w:sz w:val="30"/>
          <w:szCs w:val="30"/>
        </w:rPr>
      </w:pPr>
    </w:p>
    <w:p w14:paraId="764D2B57">
      <w:pPr>
        <w:jc w:val="center"/>
        <w:rPr>
          <w:rFonts w:hint="eastAsia" w:ascii="仿宋" w:hAnsi="仿宋" w:eastAsia="仿宋" w:cs="仿宋"/>
          <w:sz w:val="30"/>
          <w:szCs w:val="30"/>
        </w:rPr>
      </w:pPr>
    </w:p>
    <w:p w14:paraId="19F96970">
      <w:pPr>
        <w:jc w:val="center"/>
        <w:rPr>
          <w:rFonts w:hint="eastAsia" w:ascii="仿宋" w:hAnsi="仿宋" w:eastAsia="仿宋" w:cs="仿宋"/>
          <w:sz w:val="30"/>
          <w:szCs w:val="30"/>
        </w:rPr>
      </w:pPr>
    </w:p>
    <w:p w14:paraId="0456136C">
      <w:pPr>
        <w:ind w:firstLine="960" w:firstLineChars="300"/>
        <w:rPr>
          <w:rFonts w:hint="eastAsia" w:ascii="仿宋" w:hAnsi="仿宋" w:eastAsia="仿宋" w:cs="仿宋"/>
          <w:sz w:val="32"/>
          <w:szCs w:val="32"/>
        </w:rPr>
      </w:pPr>
      <w:r>
        <w:rPr>
          <w:rFonts w:hint="eastAsia" w:ascii="仿宋" w:hAnsi="仿宋" w:eastAsia="仿宋" w:cs="仿宋"/>
          <w:sz w:val="32"/>
          <w:szCs w:val="32"/>
        </w:rPr>
        <w:t>甲  方：西安市房产交易管理中心</w:t>
      </w:r>
    </w:p>
    <w:p w14:paraId="002FA5B3">
      <w:pPr>
        <w:tabs>
          <w:tab w:val="left" w:pos="480"/>
        </w:tabs>
        <w:ind w:firstLine="960" w:firstLineChars="300"/>
        <w:rPr>
          <w:rFonts w:hint="eastAsia" w:ascii="仿宋" w:hAnsi="仿宋" w:eastAsia="仿宋" w:cs="仿宋"/>
          <w:sz w:val="32"/>
          <w:szCs w:val="32"/>
        </w:rPr>
      </w:pPr>
      <w:r>
        <w:rPr>
          <w:rFonts w:hint="eastAsia" w:ascii="仿宋" w:hAnsi="仿宋" w:eastAsia="仿宋" w:cs="仿宋"/>
          <w:sz w:val="32"/>
          <w:szCs w:val="32"/>
        </w:rPr>
        <w:t>乙  方：</w:t>
      </w:r>
    </w:p>
    <w:p w14:paraId="53C78B67">
      <w:pPr>
        <w:rPr>
          <w:rFonts w:hint="eastAsia" w:ascii="仿宋" w:hAnsi="仿宋" w:eastAsia="仿宋" w:cs="仿宋"/>
          <w:sz w:val="32"/>
          <w:szCs w:val="32"/>
        </w:rPr>
      </w:pPr>
    </w:p>
    <w:p w14:paraId="18D6D1A5">
      <w:pPr>
        <w:jc w:val="cente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 月</w:t>
      </w:r>
    </w:p>
    <w:p w14:paraId="7DB4B595">
      <w:pPr>
        <w:rPr>
          <w:rFonts w:hint="eastAsia" w:ascii="仿宋" w:hAnsi="仿宋" w:eastAsia="仿宋" w:cs="仿宋"/>
          <w:b/>
          <w:sz w:val="24"/>
          <w:szCs w:val="24"/>
        </w:rPr>
      </w:pPr>
      <w:r>
        <w:rPr>
          <w:rFonts w:hint="eastAsia" w:ascii="仿宋" w:hAnsi="仿宋" w:eastAsia="仿宋" w:cs="仿宋"/>
          <w:b/>
          <w:sz w:val="24"/>
          <w:szCs w:val="24"/>
        </w:rPr>
        <w:br w:type="page"/>
      </w:r>
    </w:p>
    <w:p w14:paraId="0992693C">
      <w:pPr>
        <w:spacing w:line="50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rPr>
        <w:t>委托方（以下简称“甲方”）：</w:t>
      </w:r>
      <w:r>
        <w:rPr>
          <w:rFonts w:hint="eastAsia" w:ascii="仿宋" w:hAnsi="仿宋" w:eastAsia="仿宋" w:cs="仿宋"/>
          <w:sz w:val="24"/>
          <w:szCs w:val="24"/>
        </w:rPr>
        <w:t>西安市房产交易管理中心</w:t>
      </w:r>
    </w:p>
    <w:p w14:paraId="0C64FED0">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代表人：</w:t>
      </w:r>
    </w:p>
    <w:p w14:paraId="03F388F0">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地址：</w:t>
      </w:r>
    </w:p>
    <w:p w14:paraId="5FD88989">
      <w:pPr>
        <w:spacing w:after="156" w:afterLines="50"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联系电话：</w:t>
      </w:r>
    </w:p>
    <w:p w14:paraId="34A904B9">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受托方（以下简称乙方）：</w:t>
      </w:r>
    </w:p>
    <w:p w14:paraId="7FD47F18">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法定代表人：</w:t>
      </w:r>
    </w:p>
    <w:p w14:paraId="64146696">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地址：</w:t>
      </w:r>
    </w:p>
    <w:p w14:paraId="33B05075">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联系电话：</w:t>
      </w:r>
    </w:p>
    <w:p w14:paraId="7ADD1D99">
      <w:pPr>
        <w:spacing w:before="156" w:beforeLines="50"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为切实提高西安市房产交易管理中心</w:t>
      </w:r>
      <w:r>
        <w:rPr>
          <w:rFonts w:hint="eastAsia" w:ascii="仿宋" w:hAnsi="仿宋" w:eastAsia="仿宋" w:cs="仿宋"/>
          <w:sz w:val="24"/>
          <w:szCs w:val="24"/>
          <w:highlight w:val="none"/>
          <w:lang w:val="en-US" w:eastAsia="zh-CN"/>
        </w:rPr>
        <w:t>办事</w:t>
      </w:r>
      <w:r>
        <w:rPr>
          <w:rFonts w:hint="eastAsia" w:ascii="仿宋" w:hAnsi="仿宋" w:eastAsia="仿宋" w:cs="仿宋"/>
          <w:sz w:val="24"/>
          <w:szCs w:val="24"/>
          <w:highlight w:val="none"/>
        </w:rPr>
        <w:t>大厅的对外服务能力，不断增强人民群众对办事大厅的满意度。根据《中华人民共和国民法典》及有关法律法规之规定，在自愿、平等、协商一致的基础上，甲方将</w:t>
      </w:r>
      <w:r>
        <w:rPr>
          <w:rFonts w:hint="eastAsia" w:ascii="仿宋" w:hAnsi="仿宋" w:eastAsia="仿宋" w:cs="仿宋"/>
          <w:sz w:val="24"/>
          <w:szCs w:val="24"/>
          <w:highlight w:val="none"/>
          <w:u w:val="single"/>
          <w:lang w:val="en-US" w:eastAsia="zh-CN"/>
        </w:rPr>
        <w:t>米家崖及西大街交易大厅协助运维项目</w:t>
      </w:r>
      <w:r>
        <w:rPr>
          <w:rFonts w:hint="eastAsia" w:ascii="仿宋" w:hAnsi="仿宋" w:eastAsia="仿宋" w:cs="仿宋"/>
          <w:sz w:val="24"/>
          <w:szCs w:val="24"/>
          <w:highlight w:val="none"/>
        </w:rPr>
        <w:t>委托给乙方进行日常运营管理维护，订立本合同，以兹共同遵守。</w:t>
      </w:r>
    </w:p>
    <w:p w14:paraId="59155C9A">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第一条 项目基本情况</w:t>
      </w:r>
    </w:p>
    <w:p w14:paraId="7ADAF4F6">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1.运营项目位置：本合同约定的运营服务地点坐落于</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6A00FFD3">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2.运营服务范围：</w:t>
      </w:r>
      <w:r>
        <w:rPr>
          <w:rFonts w:hint="eastAsia" w:ascii="仿宋" w:hAnsi="仿宋" w:eastAsia="仿宋" w:cs="仿宋"/>
          <w:sz w:val="24"/>
          <w:szCs w:val="24"/>
          <w:highlight w:val="none"/>
          <w:lang w:val="en-US" w:eastAsia="zh-CN"/>
        </w:rPr>
        <w:t>米家崖及西大街交易大厅</w:t>
      </w:r>
      <w:r>
        <w:rPr>
          <w:rFonts w:hint="eastAsia" w:ascii="仿宋" w:hAnsi="仿宋" w:eastAsia="仿宋" w:cs="仿宋"/>
          <w:sz w:val="24"/>
          <w:szCs w:val="24"/>
          <w:highlight w:val="none"/>
        </w:rPr>
        <w:t>。</w:t>
      </w:r>
    </w:p>
    <w:p w14:paraId="744E249E">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第二条 运营服务期限</w:t>
      </w:r>
    </w:p>
    <w:p w14:paraId="44AFFB95">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1.甲方委托乙方进行运营服务的期限自</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日起至</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日止。</w:t>
      </w:r>
    </w:p>
    <w:p w14:paraId="344C378A">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2.本合同约定的物业服务期限届满后，甲方根据考核结果决定是否续签。</w:t>
      </w:r>
    </w:p>
    <w:p w14:paraId="53F4AF48">
      <w:pPr>
        <w:spacing w:line="480" w:lineRule="auto"/>
        <w:ind w:firstLine="482" w:firstLineChars="20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第三条 运营服务</w:t>
      </w:r>
      <w:r>
        <w:rPr>
          <w:rFonts w:hint="eastAsia" w:ascii="仿宋" w:hAnsi="仿宋" w:eastAsia="仿宋" w:cs="仿宋"/>
          <w:b/>
          <w:bCs/>
          <w:sz w:val="24"/>
          <w:szCs w:val="24"/>
          <w:highlight w:val="none"/>
          <w:lang w:val="en-US" w:eastAsia="zh-CN"/>
        </w:rPr>
        <w:t>及要求</w:t>
      </w:r>
    </w:p>
    <w:p w14:paraId="7EEE06B3">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 综合咨询与导办服务</w:t>
      </w:r>
    </w:p>
    <w:p w14:paraId="14B4883E">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服务内容：负责交易大厅电话咨询、办事群众接待、政策疑问解答等方面工作，协助办事群众整理办件材料，精准指引办事窗口与办理路径，避免群众"盲目跑"，提升整体办事效率。服务人员不少于5人。</w:t>
      </w:r>
    </w:p>
    <w:p w14:paraId="31A520D3">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2.帮办代办与投诉管理服务</w:t>
      </w:r>
    </w:p>
    <w:p w14:paraId="66273537">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对老年人、残疾人、孕妇、急重症患者及需紧急办理交易（如学区房入学前过户）等群众，提供"一对一"全流程帮办代办服务；受理群众办事投诉建议，建立"受理—登记—跟进—反馈"流程闭环，明确投诉处置时限，处置完成后开展满意度回访。服务人员不少于2人。</w:t>
      </w:r>
    </w:p>
    <w:p w14:paraId="5A9CDB40">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 交易资料管理与跨部门协调服务</w:t>
      </w:r>
    </w:p>
    <w:p w14:paraId="56B1A152">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服务内容：负责房产交易相关资料的综合收件、核验、暂存、统一出件及跨部门、跨地区传递协调工作。服务人员不少于1人。</w:t>
      </w:r>
    </w:p>
    <w:p w14:paraId="38898E05">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 "办不成事"协调与服务效能优化监督服务</w:t>
      </w:r>
    </w:p>
    <w:p w14:paraId="7FEBCC33">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负责“办不成事”反映、高效办成一件事、绿色通道等窗口服务工作。配合做好交易大厅运行管理、标准化建设、窗口优化调整、特色区域设置、政策落地实施、服务标识优化等方面工作。配合交易大厅制定工作人员效能管理办法，从服务效能、日常表现等方面对工作人员进行效能监督。服务人员不少于2人。</w:t>
      </w:r>
    </w:p>
    <w:p w14:paraId="07651978">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 大厅日常环境保障与安全运维服务</w:t>
      </w:r>
    </w:p>
    <w:p w14:paraId="53FDE28F">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负责交易大厅安全工作，设立大厅、消防监控室等场所24小时值班制。采取巡查等机制，维护大厅日常运行秩序，杜绝不法中介、黄牛进入大厅。做好大厅公共区域环境管理，检查便民设施（饮水机、充电宝、轮椅、老花镜）及设施设备的完好情况，及时补充或报修故障。服务人员不少于2人。</w:t>
      </w:r>
    </w:p>
    <w:p w14:paraId="3739B74F">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 突发事件应急处置、演练与服务能力强化服务</w:t>
      </w:r>
    </w:p>
    <w:p w14:paraId="034BD96D">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服务内容：制定交易大厅突发事件应急预案，定期组织应急演练，强化应急处置技巧，通过案例研讨、情景模拟、实操演示等方式提升工作人员综合服务水平。服务人员不少于2人。</w:t>
      </w:r>
    </w:p>
    <w:p w14:paraId="2218FAFC">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 房产交易金融配套服务支持</w:t>
      </w:r>
    </w:p>
    <w:p w14:paraId="492FB27B">
      <w:pPr>
        <w:spacing w:line="500" w:lineRule="exact"/>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服务内容：在大厅设立金融服务咨询区，协同驻点银行工作人员解读住房贷款政策（利率、额度、审批流程）、公积金贷款衔接规则、二手房交易资金监管要求，提供贷款申请材料填写指导；解答惠企政策（如税收减免、补贴申请）并提供审前辅导；</w:t>
      </w:r>
    </w:p>
    <w:p w14:paraId="7926717B">
      <w:pPr>
        <w:spacing w:line="500" w:lineRule="exact"/>
        <w:ind w:firstLine="480" w:firstLineChars="200"/>
        <w:rPr>
          <w:rFonts w:hint="eastAsia" w:ascii="仿宋" w:hAnsi="仿宋" w:eastAsia="仿宋" w:cs="仿宋"/>
          <w:b/>
          <w:bCs/>
          <w:sz w:val="24"/>
          <w:szCs w:val="24"/>
        </w:rPr>
      </w:pPr>
      <w:r>
        <w:rPr>
          <w:rFonts w:hint="eastAsia" w:ascii="仿宋" w:hAnsi="仿宋" w:eastAsia="仿宋" w:cs="仿宋"/>
          <w:b w:val="0"/>
          <w:bCs w:val="0"/>
          <w:sz w:val="24"/>
          <w:szCs w:val="24"/>
          <w:lang w:val="en-US" w:eastAsia="zh-CN"/>
        </w:rPr>
        <w:t>不定期组织进社区、进园区活动，通过政策宣讲会、咨询点设置等形式，为居民、企业提供"家门口"的房产交易金融配套服务指引，扩大服务覆盖面。服务人员不少于2人。</w:t>
      </w:r>
    </w:p>
    <w:p w14:paraId="16799904">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条 运营服务考核</w:t>
      </w:r>
    </w:p>
    <w:p w14:paraId="3277FD8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1.甲方对乙方提供的服务通过绩效评估、绩效目标管理、绩效运行监控、绩效评价管理、评价结果应用等环节开展绩效管理。</w:t>
      </w:r>
    </w:p>
    <w:p w14:paraId="6D886DF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2.甲方针对乙方提供给的服务制定绩效考核方案（具体方案详见附件1）。乙方认可并承诺按照甲方的考核方案完成服务工作，自愿接受甲方及其委托的第三方开展的绩效考核。</w:t>
      </w:r>
    </w:p>
    <w:p w14:paraId="5ABC12C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3.甲方或其委托的第三方按季度对乙方进行绩效考核评价。绩效考核评价结果将作为甲方决定是否续签合同、扣除相应服务费的重要参考依据。</w:t>
      </w:r>
    </w:p>
    <w:p w14:paraId="3D5E9D6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4.甲方对乙方的绩效评价结果采取百分制，根据分值为四档：90分以上为优，80-90分为良（不包含90分），60-80（不包含80分）分为中，60分以下为差。</w:t>
      </w:r>
    </w:p>
    <w:p w14:paraId="3C4A8E2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5.甲方对乙方按季度考核的结果为“中”或者“差”的，甲方有权向</w:t>
      </w:r>
      <w:r>
        <w:rPr>
          <w:rFonts w:hint="eastAsia" w:ascii="仿宋" w:hAnsi="仿宋" w:eastAsia="仿宋" w:cs="仿宋"/>
          <w:color w:val="2E54A1" w:themeColor="accent1" w:themeShade="BF"/>
          <w:sz w:val="24"/>
          <w:szCs w:val="24"/>
        </w:rPr>
        <w:t>乙</w:t>
      </w:r>
      <w:r>
        <w:rPr>
          <w:rFonts w:hint="eastAsia" w:ascii="仿宋" w:hAnsi="仿宋" w:eastAsia="仿宋" w:cs="仿宋"/>
          <w:sz w:val="24"/>
          <w:szCs w:val="24"/>
        </w:rPr>
        <w:t>方发出整改通知，要求乙方限期整改。甲方对乙方按季度考核的结果为“中”或“差”的，按照双方确认的绩效考核结果，每少一分，则管理服务费扣减1%。甲方根据考核得分计算应扣减的管理服务费后，将扣减后的管理服务费支付给乙方。</w:t>
      </w:r>
    </w:p>
    <w:p w14:paraId="38673138">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五</w:t>
      </w:r>
      <w:r>
        <w:rPr>
          <w:rFonts w:hint="eastAsia" w:ascii="仿宋" w:hAnsi="仿宋" w:eastAsia="仿宋" w:cs="仿宋"/>
          <w:b/>
          <w:bCs/>
          <w:sz w:val="24"/>
          <w:szCs w:val="24"/>
        </w:rPr>
        <w:t>条 运营服务费用</w:t>
      </w:r>
    </w:p>
    <w:p w14:paraId="64A51877">
      <w:pPr>
        <w:spacing w:line="500" w:lineRule="exact"/>
        <w:ind w:left="799" w:leftChars="266" w:hanging="240" w:hangingChars="100"/>
        <w:rPr>
          <w:rFonts w:hint="eastAsia" w:ascii="仿宋" w:hAnsi="仿宋" w:eastAsia="仿宋" w:cs="仿宋"/>
          <w:sz w:val="24"/>
          <w:szCs w:val="24"/>
          <w:u w:val="single"/>
          <w:lang w:val="en-US" w:eastAsia="zh-CN"/>
        </w:rPr>
      </w:pPr>
      <w:r>
        <w:rPr>
          <w:rFonts w:hint="eastAsia" w:ascii="仿宋" w:hAnsi="仿宋" w:eastAsia="仿宋" w:cs="仿宋"/>
          <w:sz w:val="24"/>
          <w:szCs w:val="24"/>
        </w:rPr>
        <w:t>1.本合同项下的运营服务费共</w:t>
      </w:r>
      <w:r>
        <w:rPr>
          <w:rFonts w:hint="eastAsia" w:ascii="仿宋" w:hAnsi="仿宋" w:eastAsia="仿宋" w:cs="仿宋"/>
          <w:sz w:val="24"/>
          <w:szCs w:val="24"/>
          <w:u w:val="none"/>
        </w:rPr>
        <w:t>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元，人民币大写:</w:t>
      </w:r>
      <w:r>
        <w:rPr>
          <w:rFonts w:hint="eastAsia" w:ascii="仿宋" w:hAnsi="仿宋" w:eastAsia="仿宋" w:cs="仿宋"/>
          <w:sz w:val="24"/>
          <w:szCs w:val="24"/>
          <w:u w:val="single"/>
          <w:lang w:val="en-US" w:eastAsia="zh-CN"/>
        </w:rPr>
        <w:t xml:space="preserve">        </w:t>
      </w:r>
    </w:p>
    <w:p w14:paraId="65FFE23B">
      <w:pPr>
        <w:spacing w:line="500" w:lineRule="exact"/>
        <w:ind w:left="799" w:leftChars="266" w:hanging="240" w:hangingChars="100"/>
        <w:rPr>
          <w:rFonts w:hint="eastAsia" w:ascii="仿宋" w:hAnsi="仿宋" w:eastAsia="仿宋" w:cs="仿宋"/>
          <w:sz w:val="24"/>
          <w:szCs w:val="24"/>
          <w:lang w:eastAsia="zh-CN"/>
        </w:rPr>
      </w:pPr>
      <w:r>
        <w:rPr>
          <w:rFonts w:hint="eastAsia" w:ascii="仿宋" w:hAnsi="仿宋" w:eastAsia="仿宋" w:cs="仿宋"/>
          <w:sz w:val="24"/>
          <w:szCs w:val="24"/>
        </w:rPr>
        <w:t>具体各项费用</w:t>
      </w:r>
      <w:r>
        <w:rPr>
          <w:rFonts w:hint="eastAsia" w:ascii="仿宋" w:hAnsi="仿宋" w:eastAsia="仿宋" w:cs="仿宋"/>
          <w:sz w:val="24"/>
          <w:szCs w:val="24"/>
          <w:lang w:eastAsia="zh-CN"/>
        </w:rPr>
        <w:t>表（格式）</w:t>
      </w:r>
      <w:r>
        <w:rPr>
          <w:rFonts w:hint="eastAsia" w:ascii="仿宋" w:hAnsi="仿宋" w:eastAsia="仿宋" w:cs="仿宋"/>
          <w:sz w:val="24"/>
          <w:szCs w:val="24"/>
        </w:rPr>
        <w:t>：</w:t>
      </w:r>
    </w:p>
    <w:tbl>
      <w:tblPr>
        <w:tblStyle w:val="7"/>
        <w:tblW w:w="8477"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235"/>
        <w:gridCol w:w="3666"/>
        <w:gridCol w:w="1822"/>
      </w:tblGrid>
      <w:tr w14:paraId="0EAD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54" w:type="dxa"/>
            <w:vAlign w:val="center"/>
          </w:tcPr>
          <w:p w14:paraId="73C79F76">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2235" w:type="dxa"/>
            <w:vAlign w:val="center"/>
          </w:tcPr>
          <w:p w14:paraId="31A4F90C">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3666" w:type="dxa"/>
            <w:vAlign w:val="center"/>
          </w:tcPr>
          <w:p w14:paraId="5AC39ACD">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费用标准</w:t>
            </w:r>
          </w:p>
        </w:tc>
        <w:tc>
          <w:tcPr>
            <w:tcW w:w="1822" w:type="dxa"/>
            <w:vAlign w:val="center"/>
          </w:tcPr>
          <w:p w14:paraId="2A315EC8">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单项总价</w:t>
            </w:r>
          </w:p>
        </w:tc>
      </w:tr>
      <w:tr w14:paraId="6AAA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54" w:type="dxa"/>
            <w:vAlign w:val="center"/>
          </w:tcPr>
          <w:p w14:paraId="0D87B805">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235" w:type="dxa"/>
            <w:vAlign w:val="center"/>
          </w:tcPr>
          <w:p w14:paraId="2F3DF5E3">
            <w:pPr>
              <w:spacing w:line="500" w:lineRule="exact"/>
              <w:jc w:val="center"/>
              <w:rPr>
                <w:rFonts w:hint="eastAsia" w:ascii="仿宋" w:hAnsi="仿宋" w:eastAsia="仿宋" w:cs="仿宋"/>
                <w:sz w:val="24"/>
                <w:szCs w:val="24"/>
              </w:rPr>
            </w:pPr>
          </w:p>
        </w:tc>
        <w:tc>
          <w:tcPr>
            <w:tcW w:w="3666" w:type="dxa"/>
            <w:vAlign w:val="center"/>
          </w:tcPr>
          <w:p w14:paraId="567C19A8">
            <w:pPr>
              <w:spacing w:line="500" w:lineRule="exact"/>
              <w:jc w:val="center"/>
              <w:rPr>
                <w:rFonts w:hint="eastAsia" w:ascii="仿宋" w:hAnsi="仿宋" w:eastAsia="仿宋" w:cs="仿宋"/>
                <w:sz w:val="24"/>
                <w:szCs w:val="24"/>
              </w:rPr>
            </w:pPr>
          </w:p>
        </w:tc>
        <w:tc>
          <w:tcPr>
            <w:tcW w:w="1822" w:type="dxa"/>
            <w:vAlign w:val="center"/>
          </w:tcPr>
          <w:p w14:paraId="6D21B477">
            <w:pPr>
              <w:spacing w:line="500" w:lineRule="exact"/>
              <w:jc w:val="center"/>
              <w:rPr>
                <w:rFonts w:hint="eastAsia" w:ascii="仿宋" w:hAnsi="仿宋" w:eastAsia="仿宋" w:cs="仿宋"/>
                <w:sz w:val="24"/>
                <w:szCs w:val="24"/>
              </w:rPr>
            </w:pPr>
          </w:p>
        </w:tc>
      </w:tr>
      <w:tr w14:paraId="01CE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54" w:type="dxa"/>
            <w:vAlign w:val="center"/>
          </w:tcPr>
          <w:p w14:paraId="31891A7F">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235" w:type="dxa"/>
            <w:vAlign w:val="center"/>
          </w:tcPr>
          <w:p w14:paraId="54C775A9">
            <w:pPr>
              <w:spacing w:line="500" w:lineRule="exact"/>
              <w:jc w:val="center"/>
              <w:rPr>
                <w:rFonts w:hint="eastAsia" w:ascii="仿宋" w:hAnsi="仿宋" w:eastAsia="仿宋" w:cs="仿宋"/>
                <w:sz w:val="24"/>
                <w:szCs w:val="24"/>
              </w:rPr>
            </w:pPr>
          </w:p>
        </w:tc>
        <w:tc>
          <w:tcPr>
            <w:tcW w:w="3666" w:type="dxa"/>
            <w:vAlign w:val="center"/>
          </w:tcPr>
          <w:p w14:paraId="5C81CA05">
            <w:pPr>
              <w:spacing w:line="500" w:lineRule="exact"/>
              <w:jc w:val="center"/>
              <w:rPr>
                <w:rFonts w:hint="eastAsia" w:ascii="仿宋" w:hAnsi="仿宋" w:eastAsia="仿宋" w:cs="仿宋"/>
                <w:sz w:val="24"/>
                <w:szCs w:val="24"/>
              </w:rPr>
            </w:pPr>
          </w:p>
        </w:tc>
        <w:tc>
          <w:tcPr>
            <w:tcW w:w="1822" w:type="dxa"/>
            <w:vAlign w:val="center"/>
          </w:tcPr>
          <w:p w14:paraId="41AE0C0D">
            <w:pPr>
              <w:spacing w:line="500" w:lineRule="exact"/>
              <w:jc w:val="center"/>
              <w:rPr>
                <w:rFonts w:hint="eastAsia" w:ascii="仿宋" w:hAnsi="仿宋" w:eastAsia="仿宋" w:cs="仿宋"/>
                <w:sz w:val="24"/>
                <w:szCs w:val="24"/>
              </w:rPr>
            </w:pPr>
          </w:p>
        </w:tc>
      </w:tr>
      <w:tr w14:paraId="70EB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54" w:type="dxa"/>
            <w:vAlign w:val="center"/>
          </w:tcPr>
          <w:p w14:paraId="7710EF8B">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235" w:type="dxa"/>
            <w:vAlign w:val="center"/>
          </w:tcPr>
          <w:p w14:paraId="18989ABC">
            <w:pPr>
              <w:spacing w:line="500" w:lineRule="exact"/>
              <w:jc w:val="center"/>
              <w:rPr>
                <w:rFonts w:hint="eastAsia" w:ascii="仿宋" w:hAnsi="仿宋" w:eastAsia="仿宋" w:cs="仿宋"/>
                <w:sz w:val="24"/>
                <w:szCs w:val="24"/>
              </w:rPr>
            </w:pPr>
          </w:p>
        </w:tc>
        <w:tc>
          <w:tcPr>
            <w:tcW w:w="3666" w:type="dxa"/>
            <w:vAlign w:val="center"/>
          </w:tcPr>
          <w:p w14:paraId="60D7A7BC">
            <w:pPr>
              <w:spacing w:line="500" w:lineRule="exact"/>
              <w:jc w:val="center"/>
              <w:rPr>
                <w:rFonts w:hint="eastAsia" w:ascii="仿宋" w:hAnsi="仿宋" w:eastAsia="仿宋" w:cs="仿宋"/>
                <w:sz w:val="24"/>
                <w:szCs w:val="24"/>
              </w:rPr>
            </w:pPr>
          </w:p>
        </w:tc>
        <w:tc>
          <w:tcPr>
            <w:tcW w:w="1822" w:type="dxa"/>
            <w:vAlign w:val="center"/>
          </w:tcPr>
          <w:p w14:paraId="6607C232">
            <w:pPr>
              <w:spacing w:line="500" w:lineRule="exact"/>
              <w:jc w:val="center"/>
              <w:rPr>
                <w:rFonts w:hint="eastAsia" w:ascii="仿宋" w:hAnsi="仿宋" w:eastAsia="仿宋" w:cs="仿宋"/>
                <w:sz w:val="24"/>
                <w:szCs w:val="24"/>
              </w:rPr>
            </w:pPr>
          </w:p>
        </w:tc>
      </w:tr>
      <w:tr w14:paraId="5E9D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54" w:type="dxa"/>
            <w:vMerge w:val="restart"/>
            <w:vAlign w:val="center"/>
          </w:tcPr>
          <w:p w14:paraId="6AA1979E">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2235" w:type="dxa"/>
            <w:vMerge w:val="restart"/>
            <w:vAlign w:val="center"/>
          </w:tcPr>
          <w:p w14:paraId="03B9EA13">
            <w:pPr>
              <w:spacing w:line="500" w:lineRule="exact"/>
              <w:jc w:val="center"/>
              <w:rPr>
                <w:rFonts w:hint="eastAsia" w:ascii="仿宋" w:hAnsi="仿宋" w:eastAsia="仿宋" w:cs="仿宋"/>
                <w:sz w:val="24"/>
                <w:szCs w:val="24"/>
              </w:rPr>
            </w:pPr>
          </w:p>
        </w:tc>
        <w:tc>
          <w:tcPr>
            <w:tcW w:w="3666" w:type="dxa"/>
            <w:vAlign w:val="center"/>
          </w:tcPr>
          <w:p w14:paraId="1873D637">
            <w:pPr>
              <w:spacing w:line="500" w:lineRule="exact"/>
              <w:jc w:val="center"/>
              <w:rPr>
                <w:rFonts w:hint="eastAsia" w:ascii="仿宋" w:hAnsi="仿宋" w:eastAsia="仿宋" w:cs="仿宋"/>
                <w:sz w:val="24"/>
                <w:szCs w:val="24"/>
              </w:rPr>
            </w:pPr>
          </w:p>
        </w:tc>
        <w:tc>
          <w:tcPr>
            <w:tcW w:w="1822" w:type="dxa"/>
            <w:vMerge w:val="restart"/>
            <w:vAlign w:val="center"/>
          </w:tcPr>
          <w:p w14:paraId="69F26CB3">
            <w:pPr>
              <w:spacing w:line="500" w:lineRule="exact"/>
              <w:jc w:val="center"/>
              <w:rPr>
                <w:rFonts w:hint="eastAsia" w:ascii="仿宋" w:hAnsi="仿宋" w:eastAsia="仿宋" w:cs="仿宋"/>
                <w:sz w:val="24"/>
                <w:szCs w:val="24"/>
              </w:rPr>
            </w:pPr>
          </w:p>
        </w:tc>
      </w:tr>
      <w:tr w14:paraId="1967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54" w:type="dxa"/>
            <w:vAlign w:val="center"/>
          </w:tcPr>
          <w:p w14:paraId="2FFB2C09">
            <w:pPr>
              <w:spacing w:line="50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2235" w:type="dxa"/>
            <w:vAlign w:val="center"/>
          </w:tcPr>
          <w:p w14:paraId="2E064372">
            <w:pPr>
              <w:spacing w:line="500" w:lineRule="exact"/>
              <w:jc w:val="center"/>
              <w:rPr>
                <w:rFonts w:hint="eastAsia" w:ascii="仿宋" w:hAnsi="仿宋" w:eastAsia="仿宋" w:cs="仿宋"/>
                <w:sz w:val="24"/>
                <w:szCs w:val="24"/>
              </w:rPr>
            </w:pPr>
          </w:p>
        </w:tc>
        <w:tc>
          <w:tcPr>
            <w:tcW w:w="3666" w:type="dxa"/>
            <w:vAlign w:val="center"/>
          </w:tcPr>
          <w:p w14:paraId="7166EC02">
            <w:pPr>
              <w:spacing w:line="500" w:lineRule="exact"/>
              <w:jc w:val="center"/>
              <w:rPr>
                <w:rFonts w:hint="eastAsia" w:ascii="仿宋" w:hAnsi="仿宋" w:eastAsia="仿宋" w:cs="仿宋"/>
                <w:sz w:val="24"/>
                <w:szCs w:val="24"/>
              </w:rPr>
            </w:pPr>
          </w:p>
        </w:tc>
        <w:tc>
          <w:tcPr>
            <w:tcW w:w="1822" w:type="dxa"/>
            <w:vAlign w:val="center"/>
          </w:tcPr>
          <w:p w14:paraId="46ECC428">
            <w:pPr>
              <w:spacing w:line="500" w:lineRule="exact"/>
              <w:jc w:val="center"/>
              <w:rPr>
                <w:rFonts w:hint="eastAsia" w:ascii="仿宋" w:hAnsi="仿宋" w:eastAsia="仿宋" w:cs="仿宋"/>
                <w:sz w:val="24"/>
                <w:szCs w:val="24"/>
              </w:rPr>
            </w:pPr>
          </w:p>
        </w:tc>
      </w:tr>
      <w:tr w14:paraId="771F0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54" w:type="dxa"/>
            <w:vAlign w:val="center"/>
          </w:tcPr>
          <w:p w14:paraId="6D68B613">
            <w:pPr>
              <w:spacing w:line="5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5901" w:type="dxa"/>
            <w:gridSpan w:val="2"/>
            <w:vAlign w:val="center"/>
          </w:tcPr>
          <w:p w14:paraId="484121AE">
            <w:pPr>
              <w:spacing w:line="500" w:lineRule="exact"/>
              <w:jc w:val="center"/>
              <w:rPr>
                <w:rFonts w:hint="eastAsia" w:ascii="仿宋" w:hAnsi="仿宋" w:eastAsia="仿宋" w:cs="仿宋"/>
                <w:sz w:val="24"/>
                <w:szCs w:val="24"/>
                <w:lang w:eastAsia="zh-Hans"/>
              </w:rPr>
            </w:pPr>
            <w:r>
              <w:rPr>
                <w:rFonts w:hint="eastAsia" w:ascii="仿宋" w:hAnsi="仿宋" w:eastAsia="仿宋" w:cs="仿宋"/>
                <w:sz w:val="24"/>
                <w:szCs w:val="24"/>
              </w:rPr>
              <w:t>合同总价款/</w:t>
            </w:r>
            <w:r>
              <w:rPr>
                <w:rFonts w:hint="eastAsia" w:ascii="仿宋" w:hAnsi="仿宋" w:eastAsia="仿宋" w:cs="仿宋"/>
                <w:sz w:val="24"/>
                <w:szCs w:val="24"/>
                <w:lang w:eastAsia="zh-Hans"/>
              </w:rPr>
              <w:t>年</w:t>
            </w:r>
          </w:p>
        </w:tc>
        <w:tc>
          <w:tcPr>
            <w:tcW w:w="1822" w:type="dxa"/>
            <w:vAlign w:val="center"/>
          </w:tcPr>
          <w:p w14:paraId="7BB45283">
            <w:pPr>
              <w:spacing w:line="5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元</w:t>
            </w:r>
          </w:p>
        </w:tc>
      </w:tr>
    </w:tbl>
    <w:p w14:paraId="7E91401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2.本合同项下运营服务费用为一次性包干制，该合同价格不受市场价格变化因素的影响。</w:t>
      </w:r>
    </w:p>
    <w:p w14:paraId="7AF69ACA">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3.甲方向乙方支付的运营服务费用已包含人员工资、物资装备费、日常运营费、乙方利润及税金、清洁材料及工具费、办公经费等</w:t>
      </w:r>
      <w:r>
        <w:rPr>
          <w:rFonts w:hint="eastAsia" w:ascii="仿宋" w:hAnsi="仿宋" w:eastAsia="仿宋" w:cs="仿宋"/>
          <w:sz w:val="24"/>
          <w:szCs w:val="24"/>
          <w:lang w:eastAsia="zh-Hans"/>
        </w:rPr>
        <w:t>，</w:t>
      </w:r>
      <w:r>
        <w:rPr>
          <w:rFonts w:hint="eastAsia" w:ascii="仿宋" w:hAnsi="仿宋" w:eastAsia="仿宋" w:cs="仿宋"/>
          <w:sz w:val="24"/>
          <w:szCs w:val="24"/>
        </w:rPr>
        <w:t>为</w:t>
      </w:r>
      <w:r>
        <w:rPr>
          <w:rFonts w:hint="eastAsia" w:ascii="仿宋" w:hAnsi="仿宋" w:eastAsia="仿宋" w:cs="仿宋"/>
          <w:sz w:val="24"/>
          <w:szCs w:val="24"/>
          <w:lang w:val="en-US" w:eastAsia="zh-CN"/>
        </w:rPr>
        <w:t>服务期内</w:t>
      </w:r>
      <w:r>
        <w:rPr>
          <w:rFonts w:hint="eastAsia" w:ascii="仿宋" w:hAnsi="仿宋" w:eastAsia="仿宋" w:cs="仿宋"/>
          <w:sz w:val="24"/>
          <w:szCs w:val="24"/>
        </w:rPr>
        <w:t>全部服务费用。除合同价款外，甲方无其他付款义务。</w:t>
      </w:r>
    </w:p>
    <w:p w14:paraId="5F080A80">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条 服务费用</w:t>
      </w:r>
      <w:r>
        <w:rPr>
          <w:rFonts w:hint="eastAsia" w:ascii="仿宋" w:hAnsi="仿宋" w:eastAsia="仿宋" w:cs="仿宋"/>
          <w:b/>
          <w:bCs/>
          <w:sz w:val="24"/>
          <w:szCs w:val="24"/>
          <w:lang w:val="en-US" w:eastAsia="zh-CN"/>
        </w:rPr>
        <w:t>结</w:t>
      </w:r>
      <w:r>
        <w:rPr>
          <w:rFonts w:hint="eastAsia" w:ascii="仿宋" w:hAnsi="仿宋" w:eastAsia="仿宋" w:cs="仿宋"/>
          <w:b/>
          <w:bCs/>
          <w:sz w:val="24"/>
          <w:szCs w:val="24"/>
        </w:rPr>
        <w:t>算</w:t>
      </w:r>
    </w:p>
    <w:p w14:paraId="651F159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1.甲方向乙方按季度结算运营服务费。每季度实际支付费用=月服务费用×3个月-季度考核扣款。</w:t>
      </w:r>
    </w:p>
    <w:p w14:paraId="34BD495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2.甲（或甲方委托的第三方）、乙双方自每季度末起    日内共同对乙方上季度服务进行考核并经双方书面确认无误，书面考核结果作为甲方向乙方支付季度服务费的依据，乙方自出具书面考核之日起</w:t>
      </w:r>
      <w:r>
        <w:rPr>
          <w:rFonts w:hint="eastAsia" w:ascii="仿宋" w:hAnsi="仿宋" w:eastAsia="仿宋" w:cs="仿宋"/>
          <w:sz w:val="24"/>
          <w:szCs w:val="24"/>
          <w:lang w:val="en-US" w:eastAsia="zh-CN"/>
        </w:rPr>
        <w:t>10</w:t>
      </w:r>
      <w:r>
        <w:rPr>
          <w:rFonts w:hint="eastAsia" w:ascii="仿宋" w:hAnsi="仿宋" w:eastAsia="仿宋" w:cs="仿宋"/>
          <w:sz w:val="24"/>
          <w:szCs w:val="24"/>
        </w:rPr>
        <w:t>日内向甲方提出付款申请，甲方应自收到乙方付款申请起</w:t>
      </w:r>
      <w:r>
        <w:rPr>
          <w:rFonts w:hint="eastAsia" w:ascii="仿宋" w:hAnsi="仿宋" w:eastAsia="仿宋" w:cs="仿宋"/>
          <w:sz w:val="24"/>
          <w:szCs w:val="24"/>
          <w:lang w:val="en-US" w:eastAsia="zh-CN"/>
        </w:rPr>
        <w:t>10</w:t>
      </w:r>
      <w:r>
        <w:rPr>
          <w:rFonts w:hint="eastAsia" w:ascii="仿宋" w:hAnsi="仿宋" w:eastAsia="仿宋" w:cs="仿宋"/>
          <w:sz w:val="24"/>
          <w:szCs w:val="24"/>
        </w:rPr>
        <w:t>日内向乙方支付该季度运营服务费。</w:t>
      </w:r>
    </w:p>
    <w:p w14:paraId="6571285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甲方或甲方委托的第三方拖延进行考核超过    日视为乙方的绩效考核为优，甲方应在乙方提出付款申请之日起</w:t>
      </w:r>
      <w:r>
        <w:rPr>
          <w:rFonts w:hint="eastAsia" w:ascii="仿宋" w:hAnsi="仿宋" w:eastAsia="仿宋" w:cs="仿宋"/>
          <w:sz w:val="24"/>
          <w:szCs w:val="24"/>
          <w:lang w:val="en-US" w:eastAsia="zh-CN"/>
        </w:rPr>
        <w:t>10</w:t>
      </w:r>
      <w:r>
        <w:rPr>
          <w:rFonts w:hint="eastAsia" w:ascii="仿宋" w:hAnsi="仿宋" w:eastAsia="仿宋" w:cs="仿宋"/>
          <w:sz w:val="24"/>
          <w:szCs w:val="24"/>
        </w:rPr>
        <w:t>日内向乙方支付季度运营服务</w:t>
      </w:r>
      <w:bookmarkStart w:id="0" w:name="_GoBack"/>
      <w:bookmarkEnd w:id="0"/>
      <w:r>
        <w:rPr>
          <w:rFonts w:hint="eastAsia" w:ascii="仿宋" w:hAnsi="仿宋" w:eastAsia="仿宋" w:cs="仿宋"/>
          <w:sz w:val="24"/>
          <w:szCs w:val="24"/>
        </w:rPr>
        <w:t>费。</w:t>
      </w:r>
    </w:p>
    <w:p w14:paraId="1DC08E0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3.甲方向乙方支付运营服务费前，乙方应当向甲方开具等额发票。</w:t>
      </w:r>
    </w:p>
    <w:p w14:paraId="5E3A0E9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4.乙方收取甲方运营服务费用的账户为：</w:t>
      </w:r>
    </w:p>
    <w:p w14:paraId="360B724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户名：</w:t>
      </w:r>
    </w:p>
    <w:p w14:paraId="478A937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账号：</w:t>
      </w:r>
    </w:p>
    <w:p w14:paraId="18140D1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开户行：</w:t>
      </w:r>
    </w:p>
    <w:p w14:paraId="39B2B3AE">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条 甲方权利义务</w:t>
      </w:r>
    </w:p>
    <w:p w14:paraId="5E668422">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1.甲方有权根据法律和本合同约定对乙方的服务进行绩效考核；</w:t>
      </w:r>
    </w:p>
    <w:p w14:paraId="132C518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2.甲方有权根据对乙方的绩效考核结果提出相关整改建议；</w:t>
      </w:r>
    </w:p>
    <w:p w14:paraId="7F99AD9A">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3.甲方有权审定乙方制作的运营服务方案、年度服务计划，听取乙方运营服务报告；</w:t>
      </w:r>
    </w:p>
    <w:p w14:paraId="178608C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4.甲方有权因突发事件要求乙方临时增加或调整运营人员配置；</w:t>
      </w:r>
    </w:p>
    <w:p w14:paraId="4F91226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5.甲方有权要求乙方提供在运营服务过程中的形成的资料信息；</w:t>
      </w:r>
    </w:p>
    <w:p w14:paraId="5756039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6.甲方有权决定对乙方进行绩效考核的方式和考核指标；</w:t>
      </w:r>
    </w:p>
    <w:p w14:paraId="4ACF424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7.甲方有义务按照合同约定向乙方履行付款义务；</w:t>
      </w:r>
    </w:p>
    <w:p w14:paraId="73D15B9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8.乙方进场服务人员上岗前需向甲方留档备案，甲方有权对人员提出调整要求，乙方需积极配合。</w:t>
      </w:r>
    </w:p>
    <w:p w14:paraId="161030F6">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条 乙方权利义务</w:t>
      </w:r>
    </w:p>
    <w:p w14:paraId="3F002E1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1.乙方有权根据合同约定制定运营服务方案，经甲方审核后执行；</w:t>
      </w:r>
    </w:p>
    <w:p w14:paraId="5779CB6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2.乙方有权要求甲方按照合同约定及时支付运营服务费用；</w:t>
      </w:r>
    </w:p>
    <w:p w14:paraId="6FB2FC0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3.乙方有权利自行组织招聘相关工作人员派驻至办事大厅工作；</w:t>
      </w:r>
    </w:p>
    <w:p w14:paraId="1ECA768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4.因乙方配备的人员不能胜任办事大厅工作的，经甲书面方通知，乙方应当更换能够胜任的工作人员；</w:t>
      </w:r>
    </w:p>
    <w:p w14:paraId="4F84919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4.乙方有义务向甲方书面告知运营服务的实施情况；</w:t>
      </w:r>
    </w:p>
    <w:p w14:paraId="74FD0E0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5.乙方有义务按照合同约定配合甲方或甲方委托的第三方进行绩效考核；</w:t>
      </w:r>
    </w:p>
    <w:p w14:paraId="6CEBA4F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6.乙方有义务按照合同约定在年度终末时向甲方提供书面服务报告，汇报当年度运营服务成果；</w:t>
      </w:r>
    </w:p>
    <w:p w14:paraId="1DBB26BD">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7.本合同终止时，乙方必须向甲方移交全部管理用房及运营服务中形成的档案资料。</w:t>
      </w:r>
    </w:p>
    <w:p w14:paraId="7823F509">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rPr>
        <w:t>条 违约责任</w:t>
      </w:r>
    </w:p>
    <w:p w14:paraId="3BED0A55">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1.甲方违反合同约定逾期支付运营服务费的，视为甲方违约。自违约之日起，甲方以</w:t>
      </w:r>
      <w:r>
        <w:rPr>
          <w:rFonts w:hint="eastAsia" w:ascii="仿宋" w:hAnsi="仿宋" w:eastAsia="仿宋" w:cs="仿宋"/>
          <w:sz w:val="24"/>
          <w:szCs w:val="24"/>
          <w:lang w:eastAsia="zh-Hans"/>
        </w:rPr>
        <w:t>应付未付</w:t>
      </w:r>
      <w:r>
        <w:rPr>
          <w:rFonts w:hint="eastAsia" w:ascii="仿宋" w:hAnsi="仿宋" w:eastAsia="仿宋" w:cs="仿宋"/>
          <w:sz w:val="24"/>
          <w:szCs w:val="24"/>
        </w:rPr>
        <w:t>的运营费为本金，按照每日万分之一的标准向乙方支付违约金。</w:t>
      </w:r>
    </w:p>
    <w:p w14:paraId="6ECB27CB">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2.乙方违反合同提供服务经甲方要求整改后仍未达到服务标准的，视为乙方违约。自违约之日起，乙方以甲方已经</w:t>
      </w:r>
      <w:r>
        <w:rPr>
          <w:rFonts w:hint="eastAsia" w:ascii="仿宋" w:hAnsi="仿宋" w:eastAsia="仿宋" w:cs="仿宋"/>
          <w:sz w:val="24"/>
          <w:szCs w:val="24"/>
          <w:lang w:eastAsia="zh-Hans"/>
        </w:rPr>
        <w:t>支付</w:t>
      </w:r>
      <w:r>
        <w:rPr>
          <w:rFonts w:hint="eastAsia" w:ascii="仿宋" w:hAnsi="仿宋" w:eastAsia="仿宋" w:cs="仿宋"/>
          <w:sz w:val="24"/>
          <w:szCs w:val="24"/>
        </w:rPr>
        <w:t>的运营费费为本金，按照每日万分之一的标准向甲方支付违约金。</w:t>
      </w:r>
    </w:p>
    <w:p w14:paraId="558134A8">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3.经甲方考核，乙方累计两个月绩效考核结果为“中”或“差”的，视为乙方根本违约。甲方有权单方面解除合同，并要求乙方按照本条第2款的规定承担违约金。</w:t>
      </w:r>
    </w:p>
    <w:p w14:paraId="05FFECA1">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4.乙方违反本合同约定，擅自提高收费标准的，甲方有权要求乙方清退，造成甲方经济损失的，乙方应给予甲方经济赔偿。</w:t>
      </w:r>
    </w:p>
    <w:p w14:paraId="15469DF6">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第十条 运营服务交接</w:t>
      </w:r>
    </w:p>
    <w:p w14:paraId="44271A1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1.甲乙双方自本合同生效之日起3日内，根据甲方委托服务事项，办理接管验收手续。</w:t>
      </w:r>
    </w:p>
    <w:p w14:paraId="2D682A5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2.甲乙双方自本合同解除或终止之日起3日内，根据甲方的要求办理退场手续。经甲方书面通知    日内乙方延迟履行退场义务造成甲方损失的，甲方有权要求乙方按照本合同第十条第2款的标准承担违约金。</w:t>
      </w:r>
    </w:p>
    <w:p w14:paraId="2AD74905">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条 争议解决</w:t>
      </w:r>
    </w:p>
    <w:p w14:paraId="52CD9F97">
      <w:pPr>
        <w:spacing w:line="50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1、本项目在履约过程中发生的争议，由甲、乙双方当事人协商解决，协商不成的提交西安仲裁委员会仲裁。</w:t>
      </w:r>
    </w:p>
    <w:p w14:paraId="19B81B1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2.在</w:t>
      </w:r>
      <w:r>
        <w:rPr>
          <w:rFonts w:hint="eastAsia" w:ascii="仿宋" w:hAnsi="仿宋" w:eastAsia="仿宋" w:cs="仿宋"/>
          <w:sz w:val="24"/>
          <w:szCs w:val="24"/>
          <w:lang w:val="en-US" w:eastAsia="zh-CN"/>
        </w:rPr>
        <w:t>仲裁</w:t>
      </w:r>
      <w:r>
        <w:rPr>
          <w:rFonts w:hint="eastAsia" w:ascii="仿宋" w:hAnsi="仿宋" w:eastAsia="仿宋" w:cs="仿宋"/>
          <w:sz w:val="24"/>
          <w:szCs w:val="24"/>
        </w:rPr>
        <w:t>期间，本合同未发生争议的条款双方应当继续执行。</w:t>
      </w:r>
    </w:p>
    <w:p w14:paraId="601D63CC">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第十</w:t>
      </w: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条 附件</w:t>
      </w:r>
    </w:p>
    <w:p w14:paraId="58D09CB4">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1.本合同的附件有：</w:t>
      </w:r>
      <w:r>
        <w:rPr>
          <w:rFonts w:hint="eastAsia" w:ascii="仿宋" w:hAnsi="仿宋" w:eastAsia="仿宋" w:cs="仿宋"/>
          <w:sz w:val="24"/>
          <w:szCs w:val="24"/>
          <w:u w:val="single"/>
        </w:rPr>
        <w:t>《西安市房产交易管理中心考核方案》</w:t>
      </w:r>
      <w:r>
        <w:rPr>
          <w:rFonts w:hint="eastAsia" w:ascii="仿宋" w:hAnsi="仿宋" w:eastAsia="仿宋" w:cs="仿宋"/>
          <w:sz w:val="24"/>
          <w:szCs w:val="24"/>
        </w:rPr>
        <w:t>；</w:t>
      </w:r>
    </w:p>
    <w:p w14:paraId="01F135EA">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2.其他。</w:t>
      </w:r>
    </w:p>
    <w:p w14:paraId="6A81B86B">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条 其他约定</w:t>
      </w:r>
    </w:p>
    <w:p w14:paraId="7CBC51B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1.甲乙双方对本合同的条款进行补充的，应当以书面形式签订补充协议，补充协议与合同具有相同等效力。</w:t>
      </w:r>
    </w:p>
    <w:p w14:paraId="4516D7F3">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2.本合同中未规定的事宜，均遵照中华人民共和国有关法律、法规和规章执行。</w:t>
      </w:r>
    </w:p>
    <w:p w14:paraId="4E0C9D12">
      <w:pPr>
        <w:spacing w:line="50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第十</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条 附则</w:t>
      </w:r>
    </w:p>
    <w:p w14:paraId="5A81DA4A">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1.本合同执行期间，如遇不可抗力，致使合同无法履行时，双方应按有关法律规定及时协商处理。</w:t>
      </w:r>
    </w:p>
    <w:p w14:paraId="6FAA9E59">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2.本合同壹式肆份，自甲乙双方</w:t>
      </w:r>
      <w:r>
        <w:rPr>
          <w:rFonts w:hint="eastAsia" w:ascii="仿宋" w:hAnsi="仿宋" w:eastAsia="仿宋" w:cs="仿宋"/>
          <w:sz w:val="24"/>
          <w:szCs w:val="24"/>
          <w:lang w:eastAsia="zh-Hans"/>
        </w:rPr>
        <w:t>有权代表人</w:t>
      </w:r>
      <w:r>
        <w:rPr>
          <w:rFonts w:hint="eastAsia" w:ascii="仿宋" w:hAnsi="仿宋" w:eastAsia="仿宋" w:cs="仿宋"/>
          <w:sz w:val="24"/>
          <w:szCs w:val="24"/>
        </w:rPr>
        <w:t>签字</w:t>
      </w:r>
      <w:r>
        <w:rPr>
          <w:rFonts w:hint="eastAsia" w:ascii="仿宋" w:hAnsi="仿宋" w:eastAsia="仿宋" w:cs="仿宋"/>
          <w:sz w:val="24"/>
          <w:szCs w:val="24"/>
          <w:lang w:eastAsia="zh-Hans"/>
        </w:rPr>
        <w:t>并加盖双方公章</w:t>
      </w:r>
      <w:r>
        <w:rPr>
          <w:rFonts w:hint="eastAsia" w:ascii="仿宋" w:hAnsi="仿宋" w:eastAsia="仿宋" w:cs="仿宋"/>
          <w:sz w:val="24"/>
          <w:szCs w:val="24"/>
        </w:rPr>
        <w:t>之日起生效。甲乙双方各执贰份，具有同等法律效力。</w:t>
      </w:r>
    </w:p>
    <w:p w14:paraId="21B56A92">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（以下无正文，为签署页）</w:t>
      </w:r>
    </w:p>
    <w:p w14:paraId="4DC0CC4D">
      <w:pPr>
        <w:spacing w:line="560" w:lineRule="exact"/>
        <w:ind w:firstLine="482" w:firstLineChars="200"/>
        <w:rPr>
          <w:rFonts w:hint="eastAsia" w:ascii="仿宋" w:hAnsi="仿宋" w:eastAsia="仿宋" w:cs="仿宋"/>
          <w:b/>
          <w:bCs/>
          <w:sz w:val="24"/>
          <w:szCs w:val="24"/>
        </w:rPr>
      </w:pPr>
    </w:p>
    <w:p w14:paraId="7893950E">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甲方：（盖章）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乙方：（盖章）</w:t>
      </w:r>
    </w:p>
    <w:p w14:paraId="79CC239C">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法定代表人：               </w:t>
      </w:r>
    </w:p>
    <w:p w14:paraId="67779617">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联系人：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联系人：</w:t>
      </w:r>
    </w:p>
    <w:p w14:paraId="4CA13113">
      <w:pPr>
        <w:spacing w:line="360" w:lineRule="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14:paraId="7FF208ED">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color w:val="auto"/>
          <w:sz w:val="24"/>
          <w:szCs w:val="24"/>
          <w:highlight w:val="none"/>
          <w:lang w:val="en-US" w:eastAsia="zh-CN"/>
        </w:rPr>
        <w:t>说明：最终合同协议版本以双方实际签订合同版本为准。</w:t>
      </w:r>
    </w:p>
    <w:p w14:paraId="170A33CD">
      <w:pPr>
        <w:spacing w:line="560" w:lineRule="exact"/>
        <w:ind w:firstLine="482" w:firstLineChars="200"/>
        <w:rPr>
          <w:rFonts w:hint="eastAsia" w:ascii="仿宋" w:hAnsi="仿宋" w:eastAsia="仿宋" w:cs="仿宋"/>
          <w:b/>
          <w:bCs/>
          <w:sz w:val="24"/>
          <w:szCs w:val="24"/>
        </w:rPr>
      </w:pPr>
    </w:p>
    <w:p w14:paraId="1197BE6A">
      <w:pPr>
        <w:ind w:firstLine="482" w:firstLineChars="200"/>
        <w:rPr>
          <w:rFonts w:hint="eastAsia" w:ascii="仿宋" w:hAnsi="仿宋" w:eastAsia="仿宋" w:cs="仿宋"/>
          <w:b/>
          <w:sz w:val="24"/>
          <w:szCs w:val="24"/>
        </w:rPr>
      </w:pPr>
    </w:p>
    <w:sectPr>
      <w:headerReference r:id="rId3" w:type="default"/>
      <w:pgSz w:w="11906" w:h="16838"/>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FB3E8">
    <w:pPr>
      <w:pStyle w:val="5"/>
      <w:framePr w:wrap="around" w:vAnchor="text" w:hAnchor="margin" w:xAlign="right" w:yAlign="top"/>
      <w:pBdr>
        <w:bottom w:val="none" w:color="auto" w:sz="0" w:space="0"/>
        <w:between w:val="none" w:color="auto" w:sz="0" w:space="0"/>
      </w:pBdr>
      <w:jc w:val="both"/>
      <w:rPr>
        <w:rFonts w:hint="eastAsia" w:ascii="仿宋_GB2312" w:eastAsia="仿宋_GB2312"/>
      </w:rPr>
    </w:pPr>
  </w:p>
  <w:p w14:paraId="784C6518">
    <w:pPr>
      <w:pStyle w:val="3"/>
      <w:rPr>
        <w:rFonts w:hint="eastAsia" w:ascii="仿宋_GB2312" w:eastAsia="仿宋_GB23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iMjc0NWQ2YzQwNGM2Y2Q3YTVjNzE3OWZmMTFkNTAifQ=="/>
  </w:docVars>
  <w:rsids>
    <w:rsidRoot w:val="00000000"/>
    <w:rsid w:val="0F61186D"/>
    <w:rsid w:val="12662797"/>
    <w:rsid w:val="212572A7"/>
    <w:rsid w:val="2C791B65"/>
    <w:rsid w:val="30D11AA4"/>
    <w:rsid w:val="59CE0D46"/>
    <w:rsid w:val="5A120C6B"/>
    <w:rsid w:val="6F2308D2"/>
    <w:rsid w:val="7E364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3672</Words>
  <Characters>3741</Characters>
  <Lines>0</Lines>
  <Paragraphs>0</Paragraphs>
  <TotalTime>0</TotalTime>
  <ScaleCrop>false</ScaleCrop>
  <LinksUpToDate>false</LinksUpToDate>
  <CharactersWithSpaces>3954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2024-09-05T07:32:00Z</dcterms:created>
  <dc:creator>Lenovo</dc:creator>
  <cp:lastModifiedBy>Administrator</cp:lastModifiedBy>
  <dcterms:modified xsi:type="dcterms:W3CDTF">2026-03-25T10:43:51Z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9C6DE24564434C0BAD8D43736189F8A1_12</vt:lpwstr>
  </property>
  <property fmtid="{D5CDD505-2E9C-101B-9397-08002B2CF9AE}" pid="4" name="KSOTemplateDocerSaveRecord">
    <vt:lpwstr>eyJoZGlkIjoiM2M3YmM1OGNmOGNiMzQ4MzRkYmEyYmRiMGU3NGRmOWEiLCJ1c2VySWQiOiI0MDEwMDUwODcifQ==</vt:lpwstr>
  </property>
</Properties>
</file>