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版本号：HRZBXA2026-10720260325001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网络服务项目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HRZBXA2026-107</w:t>
      </w:r>
      <w:r>
        <w:br/>
      </w:r>
      <w:r>
        <w:br/>
      </w:r>
      <w:r>
        <w:br/>
      </w:r>
    </w:p>
    <w:p>
      <w:pPr>
        <w:pStyle w:val="null3"/>
        <w:jc w:val="center"/>
        <w:outlineLvl w:val="5"/>
      </w:pPr>
      <w:r>
        <w:rPr>
          <w:rFonts w:ascii="仿宋_GB2312" w:hAnsi="仿宋_GB2312" w:cs="仿宋_GB2312" w:eastAsia="仿宋_GB2312"/>
          <w:sz w:val="15"/>
          <w:b/>
        </w:rPr>
        <w:t>西安市创新港中学（创新港西安交通大学附属中学）</w:t>
      </w:r>
    </w:p>
    <w:p>
      <w:pPr>
        <w:pStyle w:val="null3"/>
        <w:jc w:val="center"/>
        <w:outlineLvl w:val="5"/>
      </w:pPr>
      <w:r>
        <w:rPr>
          <w:rFonts w:ascii="仿宋_GB2312" w:hAnsi="仿宋_GB2312" w:cs="仿宋_GB2312" w:eastAsia="仿宋_GB2312"/>
          <w:sz w:val="15"/>
          <w:b/>
        </w:rPr>
        <w:t>陕西恒瑞项目管理有限公司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2026年03月25日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陕西恒瑞项目管理有限公司</w:t>
      </w:r>
      <w:r>
        <w:rPr>
          <w:rFonts w:ascii="仿宋_GB2312" w:hAnsi="仿宋_GB2312" w:cs="仿宋_GB2312" w:eastAsia="仿宋_GB2312"/>
        </w:rPr>
        <w:t>（以下简称“代理机构”）受</w:t>
      </w:r>
      <w:r>
        <w:rPr>
          <w:rFonts w:ascii="仿宋_GB2312" w:hAnsi="仿宋_GB2312" w:cs="仿宋_GB2312" w:eastAsia="仿宋_GB2312"/>
        </w:rPr>
        <w:t>西安市创新港中学（创新港西安交通大学附属中学）</w:t>
      </w:r>
      <w:r>
        <w:rPr>
          <w:rFonts w:ascii="仿宋_GB2312" w:hAnsi="仿宋_GB2312" w:cs="仿宋_GB2312" w:eastAsia="仿宋_GB2312"/>
        </w:rPr>
        <w:t>委托，拟对</w:t>
      </w:r>
      <w:r>
        <w:rPr>
          <w:rFonts w:ascii="仿宋_GB2312" w:hAnsi="仿宋_GB2312" w:cs="仿宋_GB2312" w:eastAsia="仿宋_GB2312"/>
        </w:rPr>
        <w:t>网络服务项目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HRZBXA2026-107</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网络服务项目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西安市创新港中学(创新港西安交通大学附属中学)网络服务项目</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西安市创新港中学（创新港西安交通大学附属中学）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西咸新区沣西新城南洋环东路创新港中学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88960399</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陕西恒瑞项目管理有限公司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西安市雁塔区科技四路与鱼化一路交汇处（春风心语·春风苑东门）17号商业楼三楼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王乃义、张雨莉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18829232807</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采购包1：350,000.00元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采购包1：350,000.00元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参照国家计委关于印发《招标代理服务收费管理暂行办法》的通知（计价格〔2002〕1980号）、《国家发展和改革委员会办公厅关于招标代理服务收费有关问题的通知》（发改办价格〔2003〕857号）规定标准向中标（成交）供应商收取代理服务费。</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西安市创新港中学（创新港西安交通大学附属中学）</w:t>
      </w:r>
      <w:r>
        <w:rPr>
          <w:rFonts w:ascii="仿宋_GB2312" w:hAnsi="仿宋_GB2312" w:cs="仿宋_GB2312" w:eastAsia="仿宋_GB2312"/>
        </w:rPr>
        <w:t>和</w:t>
      </w:r>
      <w:r>
        <w:rPr>
          <w:rFonts w:ascii="仿宋_GB2312" w:hAnsi="仿宋_GB2312" w:cs="仿宋_GB2312" w:eastAsia="仿宋_GB2312"/>
        </w:rPr>
        <w:t>陕西恒瑞项目管理有限公司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陕西恒瑞项目管理有限公司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西安市创新港中学（创新港西安交通大学附属中学）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陕西恒瑞项目管理有限公司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按采购文件、响应文件及合同相关条款</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陕西恒瑞项目管理有限公司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陕西恒瑞项目管理有限公司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陕西恒瑞项目管理有限公司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宽带专线一条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宽带专线1条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信息传输业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标的名称：宽带专线1条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8"/>
              </w:rPr>
              <w:t>1)提供服务内容：乙方向甲方提供基于光纤的</w:t>
            </w:r>
            <w:r>
              <w:rPr>
                <w:rFonts w:ascii="仿宋_GB2312" w:hAnsi="仿宋_GB2312" w:cs="仿宋_GB2312" w:eastAsia="仿宋_GB2312"/>
                <w:sz w:val="18"/>
              </w:rPr>
              <w:t xml:space="preserve">1000Mbps </w:t>
            </w:r>
            <w:r>
              <w:rPr>
                <w:rFonts w:ascii="仿宋_GB2312" w:hAnsi="仿宋_GB2312" w:cs="仿宋_GB2312" w:eastAsia="仿宋_GB2312"/>
                <w:sz w:val="18"/>
              </w:rPr>
              <w:t>出口带宽专线与国际互联网</w:t>
            </w:r>
            <w:r>
              <w:rPr>
                <w:rFonts w:ascii="仿宋_GB2312" w:hAnsi="仿宋_GB2312" w:cs="仿宋_GB2312" w:eastAsia="仿宋_GB2312"/>
                <w:sz w:val="18"/>
              </w:rPr>
              <w:t>(INTERNET) 连接。</w:t>
            </w:r>
          </w:p>
          <w:p>
            <w:pPr>
              <w:pStyle w:val="null3"/>
            </w:pPr>
            <w:r>
              <w:rPr>
                <w:rFonts w:ascii="仿宋_GB2312" w:hAnsi="仿宋_GB2312" w:cs="仿宋_GB2312" w:eastAsia="仿宋_GB2312"/>
                <w:sz w:val="18"/>
              </w:rPr>
              <w:t>2)互联网专线采用双路由接入城域网；</w:t>
            </w:r>
          </w:p>
          <w:p>
            <w:pPr>
              <w:pStyle w:val="null3"/>
            </w:pPr>
            <w:r>
              <w:rPr>
                <w:rFonts w:ascii="仿宋_GB2312" w:hAnsi="仿宋_GB2312" w:cs="仿宋_GB2312" w:eastAsia="仿宋_GB2312"/>
                <w:sz w:val="18"/>
              </w:rPr>
              <w:t>3)需使用传输效率高、带宽利用率大的网络架构；</w:t>
            </w:r>
          </w:p>
          <w:p>
            <w:pPr>
              <w:pStyle w:val="null3"/>
            </w:pPr>
            <w:r>
              <w:rPr>
                <w:rFonts w:ascii="仿宋_GB2312" w:hAnsi="仿宋_GB2312" w:cs="仿宋_GB2312" w:eastAsia="仿宋_GB2312"/>
                <w:sz w:val="18"/>
              </w:rPr>
              <w:t>4)全程全网光纤传输，专网专用；</w:t>
            </w:r>
          </w:p>
          <w:p>
            <w:pPr>
              <w:pStyle w:val="null3"/>
            </w:pPr>
            <w:r>
              <w:rPr>
                <w:rFonts w:ascii="仿宋_GB2312" w:hAnsi="仿宋_GB2312" w:cs="仿宋_GB2312" w:eastAsia="仿宋_GB2312"/>
                <w:sz w:val="18"/>
              </w:rPr>
              <w:t>5)根据业务发展情况能够灵活调整网络部署，方便扩容升级；</w:t>
            </w:r>
          </w:p>
          <w:p>
            <w:pPr>
              <w:pStyle w:val="null3"/>
            </w:pPr>
            <w:r>
              <w:rPr>
                <w:rFonts w:ascii="仿宋_GB2312" w:hAnsi="仿宋_GB2312" w:cs="仿宋_GB2312" w:eastAsia="仿宋_GB2312"/>
                <w:sz w:val="18"/>
              </w:rPr>
              <w:t>6)支持国际上通用标准的网络协议，网络接口，具备与多种协议计算机通信网络互连互通的特性；</w:t>
            </w:r>
          </w:p>
          <w:p>
            <w:pPr>
              <w:pStyle w:val="null3"/>
            </w:pPr>
            <w:r>
              <w:rPr>
                <w:rFonts w:ascii="仿宋_GB2312" w:hAnsi="仿宋_GB2312" w:cs="仿宋_GB2312" w:eastAsia="仿宋_GB2312"/>
                <w:sz w:val="18"/>
              </w:rPr>
              <w:t>7)BAS接入能力不小于100G；</w:t>
            </w:r>
          </w:p>
          <w:p>
            <w:pPr>
              <w:pStyle w:val="null3"/>
            </w:pPr>
            <w:r>
              <w:rPr>
                <w:rFonts w:ascii="仿宋_GB2312" w:hAnsi="仿宋_GB2312" w:cs="仿宋_GB2312" w:eastAsia="仿宋_GB2312"/>
                <w:sz w:val="18"/>
              </w:rPr>
              <w:t>8)本地互联网出口带宽大于1Tbps；</w:t>
            </w:r>
          </w:p>
          <w:p>
            <w:pPr>
              <w:pStyle w:val="null3"/>
            </w:pPr>
            <w:r>
              <w:rPr>
                <w:rFonts w:ascii="仿宋_GB2312" w:hAnsi="仿宋_GB2312" w:cs="仿宋_GB2312" w:eastAsia="仿宋_GB2312"/>
                <w:sz w:val="18"/>
              </w:rPr>
              <w:t>9)丢包率小于0.01%；</w:t>
            </w:r>
          </w:p>
          <w:p>
            <w:pPr>
              <w:pStyle w:val="null3"/>
            </w:pPr>
            <w:r>
              <w:rPr>
                <w:rFonts w:ascii="仿宋_GB2312" w:hAnsi="仿宋_GB2312" w:cs="仿宋_GB2312" w:eastAsia="仿宋_GB2312"/>
                <w:sz w:val="18"/>
              </w:rPr>
              <w:t>10)网络可用性：不小于99.99%；l</w:t>
            </w:r>
          </w:p>
          <w:p>
            <w:pPr>
              <w:pStyle w:val="null3"/>
            </w:pPr>
            <w:r>
              <w:rPr>
                <w:rFonts w:ascii="仿宋_GB2312" w:hAnsi="仿宋_GB2312" w:cs="仿宋_GB2312" w:eastAsia="仿宋_GB2312"/>
                <w:sz w:val="18"/>
              </w:rPr>
              <w:t>11)延时：用户至核心侧延时小于3ms；</w:t>
            </w:r>
          </w:p>
          <w:p>
            <w:pPr>
              <w:pStyle w:val="null3"/>
            </w:pPr>
            <w:r>
              <w:rPr>
                <w:rFonts w:ascii="仿宋_GB2312" w:hAnsi="仿宋_GB2312" w:cs="仿宋_GB2312" w:eastAsia="仿宋_GB2312"/>
                <w:sz w:val="18"/>
              </w:rPr>
              <w:t>12) IP地址：乙方为甲方免费提供一组IP地址，所提供IP指向同一网关地址；</w:t>
            </w:r>
          </w:p>
          <w:p>
            <w:pPr>
              <w:pStyle w:val="null3"/>
            </w:pPr>
            <w:r>
              <w:rPr>
                <w:rFonts w:ascii="仿宋_GB2312" w:hAnsi="仿宋_GB2312" w:cs="仿宋_GB2312" w:eastAsia="仿宋_GB2312"/>
                <w:sz w:val="18"/>
              </w:rPr>
              <w:t>13)负责专线业务的全程连接、调通，并进行测试。做好入网后的测试工作，并提交专线测试数据报告；</w:t>
            </w:r>
          </w:p>
          <w:p>
            <w:pPr>
              <w:pStyle w:val="null3"/>
            </w:pPr>
            <w:r>
              <w:rPr>
                <w:rFonts w:ascii="仿宋_GB2312" w:hAnsi="仿宋_GB2312" w:cs="仿宋_GB2312" w:eastAsia="仿宋_GB2312"/>
                <w:sz w:val="18"/>
              </w:rPr>
              <w:t>14)根据校方要求，免费向校方提供接入 INTERNET 网所需的技术资料和技术咨询；</w:t>
            </w:r>
          </w:p>
          <w:p>
            <w:pPr>
              <w:pStyle w:val="null3"/>
            </w:pPr>
            <w:r>
              <w:rPr>
                <w:rFonts w:ascii="仿宋_GB2312" w:hAnsi="仿宋_GB2312" w:cs="仿宋_GB2312" w:eastAsia="仿宋_GB2312"/>
                <w:sz w:val="18"/>
              </w:rPr>
              <w:t>15)配备专业的售后服务团队，技术人员中高级工程师≧2人，中级工程师≧3人，专职客户经理1人。</w:t>
            </w:r>
          </w:p>
          <w:p>
            <w:pPr>
              <w:pStyle w:val="null3"/>
            </w:pPr>
            <w:r>
              <w:rPr>
                <w:rFonts w:ascii="仿宋_GB2312" w:hAnsi="仿宋_GB2312" w:cs="仿宋_GB2312" w:eastAsia="仿宋_GB2312"/>
                <w:sz w:val="18"/>
              </w:rPr>
              <w:t>16)支持IPV4及IPV6双栈接入，公网IP（IPV4）和IPV6地址需满足校方要求。</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西安市创新港中学（创新港西安交通大学附属中学）</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按采购文件、响应文件及合同相关条款</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按合同相关条款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（一）具有独立承担民事责任的能力。 提供注册登记凭证（营业执照、其他组织经营的合法凭证，自然人的提供身份证明文件）。 （二）具有良好的商业信誉和健全的财务会计制度。 提供经第三方审计的2024年度财务报告（包括四表一注，即资产负债表、利润表、现金流量表、所有者权益变动表及其附注），且无反对意见（或无保留意见）；事业法人提供部门决算报告； /或在开标日期前六个月内其基本开户银行出具的资信证明（附《基本存款账户信息》或《银行开户许可证》）； /或财政部门认可的政府采购专业担保机构出具的投标担保函； /或表明具有良好的商业信誉和健全的财务会计制度的诚信声明； 以上四种形式的资料提供任何一种即可。 （三）具有履行合同所必需的设备和专业技术能力。 提供声明文件。 （四）具有依法缴纳税收的良好记录。 提供缴费所属日期为投标截止时间前6个月内任一月份（投标截止时间当月不计入）的增值税（或所得税）缴费凭据或税务机关出具的完税证明/在法规范围内不需提供的应出具书面说明和证明文件； /或具有依法缴纳税收的诚信声明； 以上二种形式的资料提供任何一种即可。 （五）具有依法缴纳社会保障资金的良好记录。 提供缴费所属日期为投标截止时间前6个月内任一月份（投标截止时间当月不计入）的缴费凭据或社保机关出具的缴费证明/在法规范围内不需提供的应出具书面说明和证明文件； /或具有依法缴纳社会保障资金的缴纳记录的诚信声明； 以上二种形式的资料提供任何一种即可。 （六）参加政府采购活动前3年内在经营活动中没有重大违法记录的书面声明。 （七）法人代表授权书。 注:1、以上资格证明文件投标人必须完全提供，一项不合格即按照无效投标处理。未注明原件的，提供复印件，并加盖公章。</w:t>
            </w:r>
          </w:p>
        </w:tc>
        <w:tc>
          <w:tcPr>
            <w:tcW w:type="dxa" w:w="1661"/>
          </w:tcPr>
          <w:p>
            <w:pPr>
              <w:pStyle w:val="null3"/>
            </w:pPr>
            <w:r>
              <w:rPr>
                <w:rFonts w:ascii="仿宋_GB2312" w:hAnsi="仿宋_GB2312" w:cs="仿宋_GB2312" w:eastAsia="仿宋_GB2312"/>
              </w:rPr>
              <w:t>响应文件封面 残疾人福利性单位声明函 中小企业声明函 供应商应提交的相关资格证明材料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单一来源响应文件的完整性审查</w:t>
            </w:r>
          </w:p>
        </w:tc>
        <w:tc>
          <w:tcPr>
            <w:tcW w:type="dxa" w:w="1661"/>
          </w:tcPr>
          <w:p>
            <w:pPr>
              <w:pStyle w:val="null3"/>
            </w:pPr>
            <w:r>
              <w:rPr>
                <w:rFonts w:ascii="仿宋_GB2312" w:hAnsi="仿宋_GB2312" w:cs="仿宋_GB2312" w:eastAsia="仿宋_GB2312"/>
              </w:rPr>
              <w:t>服务内容及服务邀请应答表 商务应答表 服务方案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服务内容及服务邀请应答表 商务应答表 服务方案 标的清单 报价表 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