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版本号：YDZC2026-CS00120260326001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五金材料项目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YDZC2026-CS001</w:t>
      </w:r>
      <w:r>
        <w:br/>
      </w:r>
      <w:r>
        <w:br/>
      </w:r>
      <w:r>
        <w:br/>
      </w:r>
    </w:p>
    <w:p>
      <w:pPr>
        <w:pStyle w:val="null3"/>
        <w:jc w:val="center"/>
        <w:outlineLvl w:val="2"/>
      </w:pPr>
      <w:r>
        <w:rPr>
          <w:rFonts w:ascii="仿宋_GB2312" w:hAnsi="仿宋_GB2312" w:cs="仿宋_GB2312" w:eastAsia="仿宋_GB2312"/>
          <w:sz w:val="28"/>
          <w:b/>
        </w:rPr>
        <w:t>西安市第三医院</w:t>
      </w:r>
    </w:p>
    <w:p>
      <w:pPr>
        <w:pStyle w:val="null3"/>
        <w:jc w:val="center"/>
        <w:outlineLvl w:val="2"/>
      </w:pPr>
      <w:r>
        <w:rPr>
          <w:rFonts w:ascii="仿宋_GB2312" w:hAnsi="仿宋_GB2312" w:cs="仿宋_GB2312" w:eastAsia="仿宋_GB2312"/>
          <w:sz w:val="28"/>
          <w:b/>
        </w:rPr>
        <w:t>远大工程项目管理有限公司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远大工程项目管理有限公司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西安市第三医院</w:t>
      </w:r>
      <w:r>
        <w:rPr>
          <w:rFonts w:ascii="仿宋_GB2312" w:hAnsi="仿宋_GB2312" w:cs="仿宋_GB2312" w:eastAsia="仿宋_GB2312"/>
        </w:rPr>
        <w:t>委托，拟对</w:t>
      </w:r>
      <w:r>
        <w:rPr>
          <w:rFonts w:ascii="仿宋_GB2312" w:hAnsi="仿宋_GB2312" w:cs="仿宋_GB2312" w:eastAsia="仿宋_GB2312"/>
        </w:rPr>
        <w:t>五金材料项目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YDZC2026-CS001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五金材料项目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随着单位基础设施维护、日常修缮及项目施工工作的常态化开展，各类五金材料的需求日益迫切。五金材料是保障施工质量、提升运维效率的关键基础。为满足日常作业及工程推进的物资需求，确保各项工作顺利开展，拟采购一批五金材料。</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采购包1（五金材料项目）：属于专门面向中小企业采购。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法授权人授权委托书：法定代表人授权书（附法定代表人、被授权人身份证复印件及被授权人本单位近三个月内（不含开标当月）任意一个月的社保缴纳证明资料）（法定代表人直接参加的，须提供法定代表人身份证明及身份证复印件且与营业执照上信息须一致）；</w:t>
      </w:r>
    </w:p>
    <w:p>
      <w:pPr>
        <w:pStyle w:val="null3"/>
      </w:pPr>
      <w:r>
        <w:rPr>
          <w:rFonts w:ascii="仿宋_GB2312" w:hAnsi="仿宋_GB2312" w:cs="仿宋_GB2312" w:eastAsia="仿宋_GB2312"/>
        </w:rPr>
        <w:t>2、承诺函：供应商与交叉控股股东、交叉兼任高管的其他供应商未同时参与该项目投标，在投标前3年内的招投标和政府采购活动中无以行贿手段谋取中标的行为，并在本次政府采购活动中，不以向采购人、代理机构、评审人员提供利益和好处谋取中标；无采购单位和招标代理机构职工在该单位兼职的情况，不向采购单位和代理机构相关人员输送利益等行贿行为，其公司非采购人单位职工和家属投资开办的公司，其法人、股东、高级管理人员也不是采购人单位职工及家属；未因违规违纪被列入市卫健系统或采购人“黑名单”；</w:t>
      </w:r>
    </w:p>
    <w:p>
      <w:pPr>
        <w:pStyle w:val="null3"/>
      </w:pPr>
      <w:r>
        <w:rPr>
          <w:rFonts w:ascii="仿宋_GB2312" w:hAnsi="仿宋_GB2312" w:cs="仿宋_GB2312" w:eastAsia="仿宋_GB2312"/>
        </w:rPr>
        <w:t>3、信用要求：供应商递交响应文件截止时间前在“信用中国”网站（www.creditchina.gov.cn）上被列入失信被执行人、重大税收违法失信主体和中国政府采购网（www.ccgp.gov.cn）被列入政府采购严重违法失信行为记录名单的，不得参加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西安市第三医院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陕西省西安市未央区凤城三路东路十号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029-61816113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远大工程项目管理有限公司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陕西省西安市未央区陕西省西安市经开区凤城八路长和国际18幢2单元2101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雷婷 王亮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13080929079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 号文和国家发改委发改办价格〔2003〕857 号文的计算方法按标准下浮20%收取。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西安市第三医院</w:t>
      </w:r>
      <w:r>
        <w:rPr>
          <w:rFonts w:ascii="仿宋_GB2312" w:hAnsi="仿宋_GB2312" w:cs="仿宋_GB2312" w:eastAsia="仿宋_GB2312"/>
        </w:rPr>
        <w:t>和</w:t>
      </w:r>
      <w:r>
        <w:rPr>
          <w:rFonts w:ascii="仿宋_GB2312" w:hAnsi="仿宋_GB2312" w:cs="仿宋_GB2312" w:eastAsia="仿宋_GB2312"/>
        </w:rPr>
        <w:t>远大工程项目管理有限公司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西安市第三医院</w:t>
      </w:r>
      <w:r>
        <w:rPr>
          <w:rFonts w:ascii="仿宋_GB2312" w:hAnsi="仿宋_GB2312" w:cs="仿宋_GB2312" w:eastAsia="仿宋_GB2312"/>
        </w:rPr>
        <w:t>负责解释。除上述磋商文件内容，其他内容由</w:t>
      </w:r>
      <w:r>
        <w:rPr>
          <w:rFonts w:ascii="仿宋_GB2312" w:hAnsi="仿宋_GB2312" w:cs="仿宋_GB2312" w:eastAsia="仿宋_GB2312"/>
        </w:rPr>
        <w:t>远大工程项目管理有限公司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远大工程项目管理有限公司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1.货物到达甲方指定地点后，甲方根据合同要求，对产品进行外观验收，确认产品的品牌、规格、型号和数量与合同要求一致。 2.产品安装并正常使用后，由乙方进行自检，合格后，准备验收材料，并书面通知甲方。 3.甲方确认乙方的自检内容后，会同乙方进行整体验收，验收合格后，填写西安市第三医院办公日杂采购项目验收合格单（一式四份）作为对产品的最终认可。</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远大工程项目管理有限公司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远大工程项目管理有限公司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远大工程项目管理有限公司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联系人：雷婷</w:t>
      </w:r>
    </w:p>
    <w:p>
      <w:pPr>
        <w:pStyle w:val="null3"/>
      </w:pPr>
      <w:r>
        <w:rPr>
          <w:rFonts w:ascii="仿宋_GB2312" w:hAnsi="仿宋_GB2312" w:cs="仿宋_GB2312" w:eastAsia="仿宋_GB2312"/>
        </w:rPr>
        <w:t>联系电话：13080929079</w:t>
      </w:r>
    </w:p>
    <w:p>
      <w:pPr>
        <w:pStyle w:val="null3"/>
      </w:pPr>
      <w:r>
        <w:rPr>
          <w:rFonts w:ascii="仿宋_GB2312" w:hAnsi="仿宋_GB2312" w:cs="仿宋_GB2312" w:eastAsia="仿宋_GB2312"/>
        </w:rPr>
        <w:t>地址：陕西省西安市经开区凤城八路长和国际18幢2单元2101</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随着单位基础设施维护、日常修缮及项目施工工作的常态化开展，各类五金材料的需求日益迫切。五金材料是保障施工质量、提升运维效率的关键基础。为满足日常作业及工程推进的物资需求，确保各项工作顺利开展，拟采购一批五金材料。</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950,000.00</w:t>
      </w:r>
    </w:p>
    <w:p>
      <w:pPr>
        <w:pStyle w:val="null3"/>
      </w:pPr>
      <w:r>
        <w:rPr>
          <w:rFonts w:ascii="仿宋_GB2312" w:hAnsi="仿宋_GB2312" w:cs="仿宋_GB2312" w:eastAsia="仿宋_GB2312"/>
        </w:rPr>
        <w:t>采购包最高限价（元）: 950,000.00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西安市第三医院五金材料项目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零售业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标的名称：西安市第三医院五金材料项目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200"/>
            </w:pPr>
            <w:r>
              <w:rPr>
                <w:rFonts w:ascii="仿宋_GB2312" w:hAnsi="仿宋_GB2312" w:cs="仿宋_GB2312" w:eastAsia="仿宋_GB2312"/>
              </w:rPr>
              <w:t>一、服务</w:t>
            </w:r>
            <w:r>
              <w:rPr>
                <w:rFonts w:ascii="仿宋_GB2312" w:hAnsi="仿宋_GB2312" w:cs="仿宋_GB2312" w:eastAsia="仿宋_GB2312"/>
              </w:rPr>
              <w:t>要求</w:t>
            </w:r>
            <w:r>
              <w:rPr>
                <w:rFonts w:ascii="仿宋_GB2312" w:hAnsi="仿宋_GB2312" w:cs="仿宋_GB2312" w:eastAsia="仿宋_GB2312"/>
              </w:rPr>
              <w:t>：在合同执行过程中需要供应商应执行的伴随服务的服务标准或应当履行的相关义务。</w:t>
            </w:r>
          </w:p>
          <w:p>
            <w:pPr>
              <w:pStyle w:val="null3"/>
              <w:ind w:firstLine="400"/>
            </w:pPr>
            <w:r>
              <w:rPr>
                <w:rFonts w:ascii="仿宋_GB2312" w:hAnsi="仿宋_GB2312" w:cs="仿宋_GB2312" w:eastAsia="仿宋_GB2312"/>
              </w:rPr>
              <w:t>(一)选用的货物保证技术指标先进、质量性能可靠、进货渠道正常，配置合理，全面满足磋商文件要求。</w:t>
            </w:r>
          </w:p>
          <w:p>
            <w:pPr>
              <w:pStyle w:val="null3"/>
              <w:ind w:firstLine="400"/>
            </w:pPr>
            <w:r>
              <w:rPr>
                <w:rFonts w:ascii="仿宋_GB2312" w:hAnsi="仿宋_GB2312" w:cs="仿宋_GB2312" w:eastAsia="仿宋_GB2312"/>
              </w:rPr>
              <w:t>(二)设备符合国家有关规范要求，确保整个货物达到最佳使用状态。</w:t>
            </w:r>
          </w:p>
          <w:p>
            <w:pPr>
              <w:pStyle w:val="null3"/>
              <w:ind w:firstLine="400"/>
            </w:pPr>
            <w:r>
              <w:rPr>
                <w:rFonts w:ascii="仿宋_GB2312" w:hAnsi="仿宋_GB2312" w:cs="仿宋_GB2312" w:eastAsia="仿宋_GB2312"/>
              </w:rPr>
              <w:t>(三)各种货物具有良好的外观，适合各种安装场所的使用。</w:t>
            </w:r>
          </w:p>
          <w:p>
            <w:pPr>
              <w:pStyle w:val="null3"/>
              <w:ind w:firstLine="400"/>
            </w:pPr>
            <w:r>
              <w:rPr>
                <w:rFonts w:ascii="仿宋_GB2312" w:hAnsi="仿宋_GB2312" w:cs="仿宋_GB2312" w:eastAsia="仿宋_GB2312"/>
              </w:rPr>
              <w:t>(四)货物自安装、调试正常使用并验收合格之日起:</w:t>
            </w:r>
          </w:p>
          <w:p>
            <w:pPr>
              <w:pStyle w:val="null3"/>
              <w:ind w:firstLine="400"/>
            </w:pPr>
            <w:r>
              <w:rPr>
                <w:rFonts w:ascii="仿宋_GB2312" w:hAnsi="仿宋_GB2312" w:cs="仿宋_GB2312" w:eastAsia="仿宋_GB2312"/>
              </w:rPr>
              <w:t>1.同一主要部件出现质量问题经过两次维修后仍无法正常使用，可以更换同型号、同规格的产品，服务响应时间不超过2小时，解决问题不超过2小时，对问题较大短期内暂不能解决的，为不影响甲方正常工作，乙方在2日内免费提供替代产品，确保货物正常使用，若乙方未按照上述约定期限内及时解决问题，造成甲方损失扩大的，乙方应就损失扩大部分承担赔偿责任;</w:t>
            </w:r>
          </w:p>
          <w:p>
            <w:pPr>
              <w:pStyle w:val="null3"/>
              <w:ind w:firstLine="400"/>
            </w:pPr>
            <w:r>
              <w:rPr>
                <w:rFonts w:ascii="仿宋_GB2312" w:hAnsi="仿宋_GB2312" w:cs="仿宋_GB2312" w:eastAsia="仿宋_GB2312"/>
              </w:rPr>
              <w:t>2. 6个月内，如出现质量问题，可以选择换货或退货;</w:t>
            </w:r>
            <w:r>
              <w:br/>
            </w:r>
            <w:r>
              <w:rPr>
                <w:rFonts w:ascii="仿宋_GB2312" w:hAnsi="仿宋_GB2312" w:cs="仿宋_GB2312" w:eastAsia="仿宋_GB2312"/>
              </w:rPr>
              <w:t xml:space="preserve">  </w:t>
            </w:r>
            <w:r>
              <w:rPr>
                <w:rFonts w:ascii="仿宋_GB2312" w:hAnsi="仿宋_GB2312" w:cs="仿宋_GB2312" w:eastAsia="仿宋_GB2312"/>
              </w:rPr>
              <w:t>二</w:t>
            </w:r>
            <w:r>
              <w:rPr>
                <w:rFonts w:ascii="仿宋_GB2312" w:hAnsi="仿宋_GB2312" w:cs="仿宋_GB2312" w:eastAsia="仿宋_GB2312"/>
              </w:rPr>
              <w:t>、供货要求：</w:t>
            </w:r>
          </w:p>
          <w:p>
            <w:pPr>
              <w:pStyle w:val="null3"/>
              <w:ind w:firstLine="400"/>
            </w:pPr>
            <w:r>
              <w:rPr>
                <w:rFonts w:ascii="仿宋_GB2312" w:hAnsi="仿宋_GB2312" w:cs="仿宋_GB2312" w:eastAsia="仿宋_GB2312"/>
              </w:rPr>
              <w:t>1.执行标准：产品应符合对应品类的国家标准（GB），如金属紧固件符合GB/T 3098系列、冲压件符合GB/T 13914、不锈钢制品符合GB/T 3280等具体国标条款。</w:t>
            </w:r>
          </w:p>
          <w:p>
            <w:pPr>
              <w:pStyle w:val="null3"/>
              <w:ind w:firstLine="402"/>
            </w:pPr>
            <w:r>
              <w:rPr>
                <w:rFonts w:ascii="仿宋_GB2312" w:hAnsi="仿宋_GB2312" w:cs="仿宋_GB2312" w:eastAsia="仿宋_GB2312"/>
                <w:b/>
              </w:rPr>
              <w:t>2.产品认证要求</w:t>
            </w:r>
            <w:r>
              <w:rPr>
                <w:rFonts w:ascii="仿宋_GB2312" w:hAnsi="仿宋_GB2312" w:cs="仿宋_GB2312" w:eastAsia="仿宋_GB2312"/>
                <w:b/>
              </w:rPr>
              <w:t>：</w:t>
            </w:r>
            <w:r>
              <w:rPr>
                <w:rFonts w:ascii="仿宋_GB2312" w:hAnsi="仿宋_GB2312" w:cs="仿宋_GB2312" w:eastAsia="仿宋_GB2312"/>
                <w:b/>
              </w:rPr>
              <w:t>如涉及国家强制性产品认证，供应商承诺所供产品具有国家强制性产品认证证书且</w:t>
            </w:r>
            <w:r>
              <w:rPr>
                <w:rFonts w:ascii="仿宋_GB2312" w:hAnsi="仿宋_GB2312" w:cs="仿宋_GB2312" w:eastAsia="仿宋_GB2312"/>
                <w:b/>
              </w:rPr>
              <w:t>每批次交货</w:t>
            </w:r>
            <w:r>
              <w:rPr>
                <w:rFonts w:ascii="仿宋_GB2312" w:hAnsi="仿宋_GB2312" w:cs="仿宋_GB2312" w:eastAsia="仿宋_GB2312"/>
                <w:b/>
              </w:rPr>
              <w:t>提供产品合格证及相应认证证书</w:t>
            </w:r>
            <w:r>
              <w:rPr>
                <w:rFonts w:ascii="仿宋_GB2312" w:hAnsi="仿宋_GB2312" w:cs="仿宋_GB2312" w:eastAsia="仿宋_GB2312"/>
                <w:b/>
              </w:rPr>
              <w:t>。</w:t>
            </w:r>
          </w:p>
          <w:p>
            <w:pPr>
              <w:pStyle w:val="null3"/>
              <w:ind w:firstLine="400"/>
            </w:pPr>
            <w:r>
              <w:rPr>
                <w:rFonts w:ascii="仿宋_GB2312" w:hAnsi="仿宋_GB2312" w:cs="仿宋_GB2312" w:eastAsia="仿宋_GB2312"/>
              </w:rPr>
              <w:t>3</w:t>
            </w:r>
            <w:r>
              <w:rPr>
                <w:rFonts w:ascii="仿宋_GB2312" w:hAnsi="仿宋_GB2312" w:cs="仿宋_GB2312" w:eastAsia="仿宋_GB2312"/>
              </w:rPr>
              <w:t>. 产品质量技术要求</w:t>
            </w:r>
          </w:p>
          <w:p>
            <w:pPr>
              <w:pStyle w:val="null3"/>
              <w:ind w:firstLine="400"/>
            </w:pPr>
            <w:r>
              <w:rPr>
                <w:rFonts w:ascii="仿宋_GB2312" w:hAnsi="仿宋_GB2312" w:cs="仿宋_GB2312" w:eastAsia="仿宋_GB2312"/>
              </w:rPr>
              <w:t>尺寸精度：五金件的尺寸公差需符合对应国标中的精度等级要求，关键尺寸偏差不超过</w:t>
            </w:r>
            <w:r>
              <w:rPr>
                <w:rFonts w:ascii="仿宋_GB2312" w:hAnsi="仿宋_GB2312" w:cs="仿宋_GB2312" w:eastAsia="仿宋_GB2312"/>
              </w:rPr>
              <w:t>\pm0.05\mathrm{mm}（特殊品类可按具体国标调整）。</w:t>
            </w:r>
          </w:p>
          <w:p>
            <w:pPr>
              <w:pStyle w:val="null3"/>
              <w:ind w:firstLine="400"/>
            </w:pPr>
            <w:r>
              <w:rPr>
                <w:rFonts w:ascii="仿宋_GB2312" w:hAnsi="仿宋_GB2312" w:cs="仿宋_GB2312" w:eastAsia="仿宋_GB2312"/>
              </w:rPr>
              <w:t>表面处理：电镀件镀层厚度不低于</w:t>
            </w:r>
            <w:r>
              <w:rPr>
                <w:rFonts w:ascii="仿宋_GB2312" w:hAnsi="仿宋_GB2312" w:cs="仿宋_GB2312" w:eastAsia="仿宋_GB2312"/>
              </w:rPr>
              <w:t>8\mathrm{\mu m}，且镀层均匀、无漏镀、起皮、划痕；喷涂件涂层附着力达到GB/T 9286规定的1级标准，耐冲击性符合GB/T 1732要求。</w:t>
            </w:r>
          </w:p>
          <w:p>
            <w:pPr>
              <w:pStyle w:val="null3"/>
              <w:ind w:firstLine="400"/>
            </w:pPr>
            <w:r>
              <w:rPr>
                <w:rFonts w:ascii="仿宋_GB2312" w:hAnsi="仿宋_GB2312" w:cs="仿宋_GB2312" w:eastAsia="仿宋_GB2312"/>
              </w:rPr>
              <w:t>力学性能：金属冲压件的抗拉强度不低于</w:t>
            </w:r>
            <w:r>
              <w:rPr>
                <w:rFonts w:ascii="仿宋_GB2312" w:hAnsi="仿宋_GB2312" w:cs="仿宋_GB2312" w:eastAsia="仿宋_GB2312"/>
              </w:rPr>
              <w:t>345\mathrm{MPa}，紧固件的拧紧力矩符合GB/T 3098.1规定，无滑牙、断裂现象。</w:t>
            </w:r>
          </w:p>
          <w:p>
            <w:pPr>
              <w:pStyle w:val="null3"/>
              <w:ind w:firstLine="400"/>
            </w:pPr>
            <w:r>
              <w:rPr>
                <w:rFonts w:ascii="仿宋_GB2312" w:hAnsi="仿宋_GB2312" w:cs="仿宋_GB2312" w:eastAsia="仿宋_GB2312"/>
              </w:rPr>
              <w:t>耐腐蚀性能：不锈钢五金件需通过中性盐雾测试</w:t>
            </w:r>
            <w:r>
              <w:rPr>
                <w:rFonts w:ascii="仿宋_GB2312" w:hAnsi="仿宋_GB2312" w:cs="仿宋_GB2312" w:eastAsia="仿宋_GB2312"/>
              </w:rPr>
              <w:t>48\mathrm{h}无红锈，碳钢电镀件需通过中性盐雾测试24\mathrm{h}无白锈、72\mathrm{h}无红锈（特殊要求可协商提高）。</w:t>
            </w:r>
          </w:p>
          <w:p>
            <w:pPr>
              <w:pStyle w:val="null3"/>
              <w:jc w:val="center"/>
            </w:pPr>
            <w:r>
              <w:rPr>
                <w:rFonts w:ascii="仿宋_GB2312" w:hAnsi="仿宋_GB2312" w:cs="仿宋_GB2312" w:eastAsia="仿宋_GB2312"/>
                <w:b/>
              </w:rPr>
              <w:t>用品清单</w:t>
            </w:r>
            <w:r>
              <w:rPr>
                <w:rFonts w:ascii="仿宋_GB2312" w:hAnsi="仿宋_GB2312" w:cs="仿宋_GB2312" w:eastAsia="仿宋_GB2312"/>
                <w:b/>
              </w:rPr>
              <w:t>（</w:t>
            </w:r>
            <w:r>
              <w:rPr>
                <w:rFonts w:ascii="仿宋_GB2312" w:hAnsi="仿宋_GB2312" w:cs="仿宋_GB2312" w:eastAsia="仿宋_GB2312"/>
                <w:b/>
              </w:rPr>
              <w:t>供应商得单价报价不能超过本表中的单价最高限价）</w:t>
            </w:r>
          </w:p>
          <w:tbl>
            <w:tblPr>
              <w:tblInd w:type="dxa" w:w="240"/>
              <w:tblBorders>
                <w:top w:val="none" w:color="000000" w:sz="4"/>
                <w:left w:val="none" w:color="000000" w:sz="4"/>
                <w:bottom w:val="none" w:color="000000" w:sz="4"/>
                <w:right w:val="none" w:color="000000" w:sz="4"/>
                <w:insideH w:val="none"/>
                <w:insideV w:val="none"/>
              </w:tblBorders>
            </w:tblPr>
            <w:tblGrid>
              <w:gridCol w:w="358"/>
              <w:gridCol w:w="597"/>
              <w:gridCol w:w="641"/>
              <w:gridCol w:w="455"/>
              <w:gridCol w:w="485"/>
            </w:tblGrid>
            <w:tr>
              <w:tc>
                <w:tcPr>
                  <w:tcW w:type="dxa" w:w="3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5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名称</w:t>
                  </w:r>
                </w:p>
              </w:tc>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规格</w:t>
                  </w:r>
                  <w:r>
                    <w:rPr>
                      <w:rFonts w:ascii="仿宋_GB2312" w:hAnsi="仿宋_GB2312" w:cs="仿宋_GB2312" w:eastAsia="仿宋_GB2312"/>
                      <w:sz w:val="18"/>
                      <w:b/>
                    </w:rPr>
                    <w:t>/材质</w:t>
                  </w: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数量、单位</w:t>
                  </w:r>
                </w:p>
              </w:tc>
              <w:tc>
                <w:tcPr>
                  <w:tcW w:type="dxa" w:w="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单价最高限价（元）</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平板灯</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600*600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平板灯</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1200*600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128</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洁净灯</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600*300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130</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洁净灯</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1200*320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162</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节能灯</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节能灯</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组模</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24W</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37</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PVC线槽</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24*14</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1根</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不锈钢线槽</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50宽度</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1根</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54</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铝合金线槽</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50宽度</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1根</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一体灯</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47</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灯管</w:t>
                  </w:r>
                  <w:r>
                    <w:rPr>
                      <w:rFonts w:ascii="仿宋_GB2312" w:hAnsi="仿宋_GB2312" w:cs="仿宋_GB2312" w:eastAsia="仿宋_GB2312"/>
                      <w:sz w:val="18"/>
                    </w:rPr>
                    <w:t>LED</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58</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吸顶灯</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72W</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95</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集成顶换气扇</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300*300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174</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地弹簧配件</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液压主体</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272</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铝合金门锁</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球型</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玻璃门锁</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单柄</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85</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防盗锁芯</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常规</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70</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玻璃门把手</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合金</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87</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不锈钢门把手</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不锈钢材质</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87</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铝扣板</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600*600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93</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铝扣板</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300*300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93</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硅酸盖板</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600*600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62</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矿棉板</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600*600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56</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角阀</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铜镀铬</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感应水龙头</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铜镀铬</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723</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水龙头感应器</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铜镀铬</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360</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水龙头配件</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铜镀铬</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170</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手动混合水龙头</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铜镀铬</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282</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挂式小便池</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陶瓷</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817</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小便池感应器</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高分子镀铬</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850</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不锈钢面盆下水接口</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铜镀铬</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54</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33</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不锈钢面盆下水软管</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PVC材质</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42</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开水器下水软管</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不锈钢材质</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开水器下水接口</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不锈钢材质</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异形混合水龙头</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铜镀铬</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703</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37</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异形混合水龙头</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感应</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802</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异形单水龙头</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铜镀铬</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188</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39</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洗衣机水龙头</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铜镀铬</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70</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长柄水龙头</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铜镀铬</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126</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41</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304纯水水龙头</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不锈钢材质</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126</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42</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脚踩阀</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铜镀铬</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333</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43</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淋浴混合阀</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铜镀铬</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370</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44</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淋雨软管</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1米</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45</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马桶法兰</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座便器底部连接</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46</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马桶连接杆</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水箱配件</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47</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马桶固定器</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连接螺丝</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48</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不锈钢地漏</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150*150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62</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49</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广告胶</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透明</w:t>
                  </w:r>
                  <w:r>
                    <w:rPr>
                      <w:rFonts w:ascii="仿宋_GB2312" w:hAnsi="仿宋_GB2312" w:cs="仿宋_GB2312" w:eastAsia="仿宋_GB2312"/>
                      <w:sz w:val="18"/>
                    </w:rPr>
                    <w:t>/白色</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1支</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电工胶带</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黑色</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1卷</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51</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透明胶带</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常规</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1卷</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52</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防水胶带</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常规</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1卷</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53</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生胶带</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常规</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1卷</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54</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铁丝</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14号</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1斤</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44</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55</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槅门合页</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常规</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56</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槅门锁</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常规</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62</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57</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门合页</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常规</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58</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柜子合页</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直的</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59</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护角</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PVC材质</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1根</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43</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加长锁芯</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铜芯</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85</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61</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柜子锁</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铜芯</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62</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转舌锁</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中心</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62</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63</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小挂锁</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常规配套</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47</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64</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锁扣</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常规配套</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65</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大挂锁</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常规配套</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47</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66</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门扣</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常规配套</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67</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角码</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L型</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68</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角码</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T型</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69</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小角码</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直角</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70</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木龙骨</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1捆</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86</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71</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挂衣杆</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不锈钢金属</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1m</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72</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衣杆底座</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不锈钢金属</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73</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窗帘轨道</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铝合金</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1m</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74</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窗户把手</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铝合金</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84</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75</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纱窗把手</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铝合金</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70</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76</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断桥窗户把手</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铝合金</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87</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77</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抽屉轨道</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金属</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1副</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85</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78</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过道扶手堵头</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79</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马桶扶手</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铝塑合金</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158</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门插销</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81</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毛刷</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5寸</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82</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滚子</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20长</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83</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成品腻子</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袋装</w:t>
                  </w:r>
                  <w:r>
                    <w:rPr>
                      <w:rFonts w:ascii="仿宋_GB2312" w:hAnsi="仿宋_GB2312" w:cs="仿宋_GB2312" w:eastAsia="仿宋_GB2312"/>
                      <w:sz w:val="18"/>
                    </w:rPr>
                    <w:t>18KG</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1袋</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84</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腻子粉</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袋装</w:t>
                  </w:r>
                  <w:r>
                    <w:rPr>
                      <w:rFonts w:ascii="仿宋_GB2312" w:hAnsi="仿宋_GB2312" w:cs="仿宋_GB2312" w:eastAsia="仿宋_GB2312"/>
                      <w:sz w:val="18"/>
                    </w:rPr>
                    <w:t>18KG</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1袋</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85</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水泥</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50KG</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1袋</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37</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86</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沙子</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中砂</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1方</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385</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87</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墙砖</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300*600mm</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1片</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88</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地板砖</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300*300mm</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1片</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89</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地板砖</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800*800mm</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1片</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75</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90</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护套线</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2*2.5</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1卷</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242</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91</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护套线</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3*2.5</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1卷</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447</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92</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翘板开关</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明装单开</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93</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翘板开关</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明装双开</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94</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翘板开关</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暗装单开</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95</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翘板开关</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暗装双开</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96</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翘板开关</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暗装</w:t>
                  </w:r>
                  <w:r>
                    <w:rPr>
                      <w:rFonts w:ascii="仿宋_GB2312" w:hAnsi="仿宋_GB2312" w:cs="仿宋_GB2312" w:eastAsia="仿宋_GB2312"/>
                      <w:sz w:val="18"/>
                    </w:rPr>
                    <w:t>3开</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97</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翘板开关</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暗装</w:t>
                  </w:r>
                  <w:r>
                    <w:rPr>
                      <w:rFonts w:ascii="仿宋_GB2312" w:hAnsi="仿宋_GB2312" w:cs="仿宋_GB2312" w:eastAsia="仿宋_GB2312"/>
                      <w:sz w:val="18"/>
                    </w:rPr>
                    <w:t>4开</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98</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翘板开关</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淋浴开关（</w:t>
                  </w:r>
                  <w:r>
                    <w:rPr>
                      <w:rFonts w:ascii="仿宋_GB2312" w:hAnsi="仿宋_GB2312" w:cs="仿宋_GB2312" w:eastAsia="仿宋_GB2312"/>
                      <w:sz w:val="18"/>
                    </w:rPr>
                    <w:t>4开）</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99</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电动门电源</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配套</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208</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电动门控制器</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配套</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1套</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208</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101</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猫眼</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常规</w:t>
                  </w:r>
                  <w:r>
                    <w:rPr>
                      <w:rFonts w:ascii="仿宋_GB2312" w:hAnsi="仿宋_GB2312" w:cs="仿宋_GB2312" w:eastAsia="仿宋_GB2312"/>
                      <w:sz w:val="18"/>
                    </w:rPr>
                    <w:t>配套</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67</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102</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铝塑管</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4分</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1米</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103</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铝塑管直接</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4分</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33</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104</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铝塑管弯头</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4分</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33</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105</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铝塑管弯头底座</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4分</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33</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106</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铝塑管内丝直接</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4分</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33</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107</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铝塑管外丝直接</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4分</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33</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108</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不锈钢弯头</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DN16</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33</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109</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不锈钢对丝</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DN16</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33</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110</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不锈钢三通</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DN16</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33</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111</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PVC管子</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w:t>
                  </w:r>
                  <w:r>
                    <w:rPr>
                      <w:rFonts w:ascii="仿宋_GB2312" w:hAnsi="仿宋_GB2312" w:cs="仿宋_GB2312" w:eastAsia="仿宋_GB2312"/>
                      <w:sz w:val="18"/>
                    </w:rPr>
                    <w:t>100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1根</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128</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112</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PVC弯头</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w:t>
                  </w:r>
                  <w:r>
                    <w:rPr>
                      <w:rFonts w:ascii="仿宋_GB2312" w:hAnsi="仿宋_GB2312" w:cs="仿宋_GB2312" w:eastAsia="仿宋_GB2312"/>
                      <w:sz w:val="18"/>
                    </w:rPr>
                    <w:t>100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113</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PVC直接</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w:t>
                  </w:r>
                  <w:r>
                    <w:rPr>
                      <w:rFonts w:ascii="仿宋_GB2312" w:hAnsi="仿宋_GB2312" w:cs="仿宋_GB2312" w:eastAsia="仿宋_GB2312"/>
                      <w:sz w:val="18"/>
                    </w:rPr>
                    <w:t>100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114</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PVC45度弯头</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w:t>
                  </w:r>
                  <w:r>
                    <w:rPr>
                      <w:rFonts w:ascii="仿宋_GB2312" w:hAnsi="仿宋_GB2312" w:cs="仿宋_GB2312" w:eastAsia="仿宋_GB2312"/>
                      <w:sz w:val="18"/>
                    </w:rPr>
                    <w:t>100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115</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PPR管子</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w:t>
                  </w:r>
                  <w:r>
                    <w:rPr>
                      <w:rFonts w:ascii="仿宋_GB2312" w:hAnsi="仿宋_GB2312" w:cs="仿宋_GB2312" w:eastAsia="仿宋_GB2312"/>
                      <w:sz w:val="18"/>
                    </w:rPr>
                    <w:t>50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1根</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63</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116</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PPR弯头</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w:t>
                  </w:r>
                  <w:r>
                    <w:rPr>
                      <w:rFonts w:ascii="仿宋_GB2312" w:hAnsi="仿宋_GB2312" w:cs="仿宋_GB2312" w:eastAsia="仿宋_GB2312"/>
                      <w:sz w:val="18"/>
                    </w:rPr>
                    <w:t>50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117</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PPR直接</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w:t>
                  </w:r>
                  <w:r>
                    <w:rPr>
                      <w:rFonts w:ascii="仿宋_GB2312" w:hAnsi="仿宋_GB2312" w:cs="仿宋_GB2312" w:eastAsia="仿宋_GB2312"/>
                      <w:sz w:val="18"/>
                    </w:rPr>
                    <w:t>50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118</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PPR45度弯头</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w:t>
                  </w:r>
                  <w:r>
                    <w:rPr>
                      <w:rFonts w:ascii="仿宋_GB2312" w:hAnsi="仿宋_GB2312" w:cs="仿宋_GB2312" w:eastAsia="仿宋_GB2312"/>
                      <w:sz w:val="18"/>
                    </w:rPr>
                    <w:t>50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119</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铸铁管子</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w:t>
                  </w:r>
                  <w:r>
                    <w:rPr>
                      <w:rFonts w:ascii="仿宋_GB2312" w:hAnsi="仿宋_GB2312" w:cs="仿宋_GB2312" w:eastAsia="仿宋_GB2312"/>
                      <w:sz w:val="18"/>
                    </w:rPr>
                    <w:t>100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1米</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72</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S弯</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w:t>
                  </w:r>
                  <w:r>
                    <w:rPr>
                      <w:rFonts w:ascii="仿宋_GB2312" w:hAnsi="仿宋_GB2312" w:cs="仿宋_GB2312" w:eastAsia="仿宋_GB2312"/>
                      <w:sz w:val="18"/>
                    </w:rPr>
                    <w:t>100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65</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121</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P弯</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w:t>
                  </w:r>
                  <w:r>
                    <w:rPr>
                      <w:rFonts w:ascii="仿宋_GB2312" w:hAnsi="仿宋_GB2312" w:cs="仿宋_GB2312" w:eastAsia="仿宋_GB2312"/>
                      <w:sz w:val="18"/>
                    </w:rPr>
                    <w:t>100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65</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122</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三通</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w:t>
                  </w:r>
                  <w:r>
                    <w:rPr>
                      <w:rFonts w:ascii="仿宋_GB2312" w:hAnsi="仿宋_GB2312" w:cs="仿宋_GB2312" w:eastAsia="仿宋_GB2312"/>
                      <w:sz w:val="18"/>
                    </w:rPr>
                    <w:t>100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65</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123</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PE管子</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w:t>
                  </w:r>
                  <w:r>
                    <w:rPr>
                      <w:rFonts w:ascii="仿宋_GB2312" w:hAnsi="仿宋_GB2312" w:cs="仿宋_GB2312" w:eastAsia="仿宋_GB2312"/>
                      <w:sz w:val="18"/>
                    </w:rPr>
                    <w:t>75</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1米</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101</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124</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PE球阀</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w:t>
                  </w:r>
                  <w:r>
                    <w:rPr>
                      <w:rFonts w:ascii="仿宋_GB2312" w:hAnsi="仿宋_GB2312" w:cs="仿宋_GB2312" w:eastAsia="仿宋_GB2312"/>
                      <w:sz w:val="18"/>
                    </w:rPr>
                    <w:t>50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85</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125</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不锈钢球阀</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w:t>
                  </w:r>
                  <w:r>
                    <w:rPr>
                      <w:rFonts w:ascii="仿宋_GB2312" w:hAnsi="仿宋_GB2312" w:cs="仿宋_GB2312" w:eastAsia="仿宋_GB2312"/>
                      <w:sz w:val="18"/>
                    </w:rPr>
                    <w:t>50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91</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126</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PPR球阀</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w:t>
                  </w:r>
                  <w:r>
                    <w:rPr>
                      <w:rFonts w:ascii="仿宋_GB2312" w:hAnsi="仿宋_GB2312" w:cs="仿宋_GB2312" w:eastAsia="仿宋_GB2312"/>
                      <w:sz w:val="18"/>
                    </w:rPr>
                    <w:t>50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74</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127</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卫生级球阀</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1/4-1 1/4</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81</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128</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单流阀</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Φ80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125</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129</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控制器</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150航空铝</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88</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130</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轴承</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Φ60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84</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131</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机械密封</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碳化硅</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131</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132</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继电器</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24V</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68</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133</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热过载继电器</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6A</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52</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134</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多功能仪表</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120*120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154</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135</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网络仪表</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单项三位</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151</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136</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配电柜柜锁</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通用一字型</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137</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配电柜风扇</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220V</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125</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138</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配电柜抽屉插拔件</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配套</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95</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139</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配电柜指示灯</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按钮</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38</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140</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对夹式电动启动阀</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63的</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321</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141</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对夹式电动启动阀</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80的</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365</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142</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止回阀</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Φ75</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105</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143</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转子流量计</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5-45/20-170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304</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144</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转子流量计</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20-60/80-220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269</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145</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转子流量计</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20-80/80-300</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348</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146</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高压高分断能力熔断器</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0.5A</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147</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继电器</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配套</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67</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148</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继电器</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配套</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87</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149</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压力传感器</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配套</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322</w:t>
                  </w:r>
                </w:p>
              </w:tc>
            </w:tr>
            <w:tr>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150</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压力传感器</w:t>
                  </w:r>
                </w:p>
              </w:tc>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配套</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1个</w:t>
                  </w:r>
                </w:p>
              </w:tc>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409</w:t>
                  </w:r>
                </w:p>
              </w:tc>
            </w:tr>
          </w:tbl>
          <w:p>
            <w:pPr>
              <w:pStyle w:val="null3"/>
            </w:pPr>
            <w:r>
              <w:rPr>
                <w:rFonts w:ascii="仿宋_GB2312" w:hAnsi="仿宋_GB2312" w:cs="仿宋_GB2312" w:eastAsia="仿宋_GB2312"/>
                <w:b/>
              </w:rPr>
              <w:t>注：</w:t>
            </w:r>
            <w:r>
              <w:rPr>
                <w:rFonts w:ascii="仿宋_GB2312" w:hAnsi="仿宋_GB2312" w:cs="仿宋_GB2312" w:eastAsia="仿宋_GB2312"/>
                <w:b/>
              </w:rPr>
              <w:t>1.以上配件供应商须保证与院方现有的配套，确保其正常使用。</w:t>
            </w:r>
          </w:p>
          <w:p>
            <w:pPr>
              <w:pStyle w:val="null3"/>
            </w:pPr>
            <w:r>
              <w:rPr>
                <w:rFonts w:ascii="仿宋_GB2312" w:hAnsi="仿宋_GB2312" w:cs="仿宋_GB2312" w:eastAsia="仿宋_GB2312"/>
                <w:sz w:val="21"/>
                <w:b/>
              </w:rPr>
              <w:t>2.供应商的各项单价报价不能超过本表中的单价最高限价，否则将否决其投标。</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自合同签订之日起一年，或达到预算金额合同自动终止。</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供应商需将货物配送至采购人库房入库，服从库管安排,货物入库之后，供应商根据库管发放清单将货物配送至医院各科室。所有搬运工作均由供应商负责完成，所有进入采购人的车辆及人员需报备。 交货周期：自接到采购人订单之日起5个日历日内交付采购人并验收合格。</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每月初采购人收到供应商上月供货明细，并审核无误后通知供应商，供应商于收到通知之日起七日内出具正规等额含税发票，开始办理结算手续</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每月初采购人收到供应商上月供货明细，并审核无误后通知供应商，供应商于收到通知之日起七日内出具正规等额含税发票，开始办理结算手续</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每月初采购人收到供应商上月供货明细，并审核无误后通知供应商，供应商于收到通知之日起七日内出具正规等额含税发票，开始办理结算手续</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每月初采购人收到供应商上月供货明细，并审核无误后通知供应商，供应商于收到通知之日起七日内出具正规等额含税发票，开始办理结算手续</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每月初采购人收到供应商上月供货明细，并审核无误后通知供应商，供应商于收到通知之日起七日内出具正规等额含税发票，开始办理结算手续</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每月初采购人收到供应商上月供货明细，并审核无误后通知供应商，供应商于收到通知之日起七日内出具正规等额含税发票，开始办理结算手续</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每月初采购人收到供应商上月供货明细，并审核无误后通知供应商，供应商于收到通知之日起七日内出具正规等额含税发票，开始办理结算手续</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每月初采购人收到供应商上月供货明细，并审核无误后通知供应商，供应商于收到通知之日起七日内出具正规等额含税发票，开始办理结算手续</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每月初采购人收到供应商上月供货明细，并审核无误后通知供应商，供应商于收到通知之日起七日内出具正规等额含税发票，开始办理结算手续</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每月初采购人收到供应商上月供货明细，并审核无误后通知供应商，供应商于收到通知之日起七日内出具正规等额含税发票，开始办理结算手续</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每月初采购人收到供应商上月供货明细，并审核无误后通知供应商，供应商于收到通知之日起七日内出具正规等额含税发票，开始办理结算手续</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每月初采购人收到供应商上月供货明细，并审核无误后通知供应商，供应商于收到通知之日起七日内出具正规等额含税发票，开始办理结算手续</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8.37</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1.货物到达甲方指定地点后，甲方根据合同要求，对产品进行外观验收，确认产品的品牌、规格、型号和数量与合同要求一致。 2.产品安装并正常使用后，由乙方进行自检，合格后，准备验收材料，并书面通知甲方。 3.甲方确认乙方的自检内容后，会同乙方进行整体验收，验收合格后，填写西安市第三医院办公日杂采购项目验收合格单（一式四份）作为对产品的最终认可。</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 2.按合同要求提供的产品质量不能满足甲方要求，乙方必须于7日内无条件更换产品并提高技术、完善质量，否则，甲方将乙方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合同自书面解除通知到达乙方时解除，合同解除后，乙方须赔偿由此给甲方造成的全部损失，并向甲方支付本合同总价款的5%作为违约金。</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1.成交供应商在领取成交通知书前提供纸质版响应文件正本壹份、副本贰份。 2.其他需要落实的政府采购政策 1）《政府采购促进中小企业发展管理办法》（财库﹝2020﹞46号）； 2）《财政部司法部关于政府采购支持监狱企业发展有关问题的通知》（财库〔20 14〕68号）； 3）《国务院办公厅关于建立政府强制采购节能产品制度的通知》（国办发〔2007〕 51号）； 4）《关于调整优化节能产品、环境标志产品政府采购执行机制的通知》（财库〔 2019〕9号）； 5）《关于印发环境标志产品政府采购品目清单的通知》（财库〔2019〕18号）； 6）《关于印发节能产品政府采购品目清单的通知》（财库〔2019〕19号）； 7）《三部门联合发布关于促进残疾人就业政府采购政策的通知》（财库〔2017〕 141号）； 8）《财政部发展改革委生态环境部市场监管总局关于调整优化节能产品、环境标 志产品政府采购执行机制的通知》（财库〔2019〕9号）； 9）《财政部农业农村部国家乡村振兴局关于运用政府采购政策支持乡村产业振兴 的通知》（财库〔2022〕19号）； 10）《陕西省财政厅关于加快推进我省中小企业政府采购信用融资工作的通知》 （陕财办采〔2020〕15号）； 11）《西安市财政局关于促进政府采购公平竞争优化营商环境的通知》（市财函 〔2022〕431号）； 12)《关于深入开展政府采购脱贫地区农副产品工作推进乡村产业振兴的实施意见》 的通知（财库〔2022〕20号）； 13）其他需要落实的政府采购政策。 3.项目执行过程中，供应商对采购人或代理机构的质疑答复不满意，或者采购人或代理机构未在规定期限内作出答复的，可以在答复期满后15个工作日内向同级财政部门提起投诉。除线下书面投诉外，鼓励各供应商优先选择便捷的电子化投诉方式，电子化投诉流程参照《陕西省财政厅关于在全省开展电子化投诉工作有关事项的通知》(陕财办采函(2022)15号)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财务状况报告：提供2024年度或2025年度的财务审计报告（有注册会计师行业统一监管平台赋予的专属验证码）（成立时间至提交响应文件截止时间不足一年的可提供成立后任意时段的资产负债表）或其基本存款账户开户银行出具的资信证明及基本存款账户开户许可证（基本账户存款信息）； 3.税收缴纳证明：提供2025年3月至今已缴纳的至少1个月的纳税证明或完税证明，依法免税的单位应提供相关证明材料； 4.社会保障资金缴纳证明：提供2025年3月至今已缴纳的至少1个月的社会保障资金缴存单据或社保机构开具的社会保险参保缴费情况证明，依法不需要缴纳社会保障资金的单位应提供相关证明材料； 5.提供具有履行合同所必需的设备和专业技术能力的承诺； 6.参加政府采购活动前三年内，在经营活动中没有重大违法记录的书面声明（成立时间至提交响应文件截止时间不足一年的可提供成立至今的书面声明）；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的财务审计报告（有注册会计师行业统一监管平台赋予的专属验证码）（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合法授权人授权委托书</w:t>
            </w:r>
          </w:p>
        </w:tc>
        <w:tc>
          <w:tcPr>
            <w:tcW w:type="dxa" w:w="3322"/>
          </w:tcPr>
          <w:p>
            <w:pPr>
              <w:pStyle w:val="null3"/>
            </w:pPr>
            <w:r>
              <w:rPr>
                <w:rFonts w:ascii="仿宋_GB2312" w:hAnsi="仿宋_GB2312" w:cs="仿宋_GB2312" w:eastAsia="仿宋_GB2312"/>
              </w:rPr>
              <w:t>法定代表人授权书（附法定代表人、被授权人身份证复印件及被授权人本单位近三个月内（不含开标当月）任意一个月的社保缴纳证明资料）（法定代表人直接参加的，须提供法定代表人身份证明及身份证复印件且与营业执照上信息须一致）；</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与交叉控股股东、交叉兼任高管的其他供应商未同时参与该项目投标，在投标前3年内的招投标和政府采购活动中无以行贿手段谋取中标的行为，并在本次政府采购活动中，不以向采购人、代理机构、评审人员提供利益和好处谋取中标；无采购单位和招标代理机构职工在该单位兼职的情况，不向采购单位和代理机构相关人员输送利益等行贿行为，其公司非采购人单位职工和家属投资开办的公司，其法人、股东、高级管理人员也不是采购人单位职工及家属；未因违规违纪被列入市卫健系统或采购人“黑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供应商递交响应文件截止时间前在“信用中国”网站（www.creditchina.gov.cn）上被列入失信被执行人、重大税收违法失信主体和中国政府采购网（www.ccgp.gov.cn）被列入政府采购严重违法失信行为记录名单的，不得参加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按财政部最新要求执行），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同时满足以下条款： （1）货币单位符合竞争性磋商文件要求；（2）报价符合唯一性要求；（3）第三章中的单价最高限价。</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完全响应竞争性磋商文件要求的各项技术、商务实质性条款</w:t>
            </w:r>
          </w:p>
        </w:tc>
        <w:tc>
          <w:tcPr>
            <w:tcW w:type="dxa" w:w="1661"/>
          </w:tcPr>
          <w:p>
            <w:pPr>
              <w:pStyle w:val="null3"/>
            </w:pPr>
            <w:r>
              <w:rPr>
                <w:rFonts w:ascii="仿宋_GB2312" w:hAnsi="仿宋_GB2312" w:cs="仿宋_GB2312" w:eastAsia="仿宋_GB2312"/>
              </w:rPr>
              <w:t>商务应答表.docx 服务内容及服务邀请应答表.docx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投标人提供针对本项目的实施方案，包括①完整的产品选型方案、规格型号明确、品牌明确；②详细的实施方案；③针对本项目的人员配置及岗位职责； 评审标准：以上3项评审内容全面详细、阐述条理清晰详尽、符合本项目采购需求，能保障本项目实施得18分，其中每有一项内容存在缺项或漏项的扣6分，每项内容中每有一处存在缺陷的扣1分，该项分值扣完为止，未提供不得分。 备注：“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投标人针对本项目提供所投产品质量保证措施。包括①产品详细配置清单；②质量保证措施；③产品出现质量问题的应急方案。 评审标准：以上3项评审内容全面详细、阐述条理清晰详尽、符合本项目采购需求，能保障本项目实施得18分，其中每有一项内容存在缺项或漏项的扣6分，每项内容中每有一处存在缺陷的扣1分，该项分值扣完为止，未提供不得分。 备注：“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投标人提供针对本项目的售后服务方案，包括①售后服务标准及质量监督机制；②售后服务机构；③售后服务响应时间；④质保期内的维护保养及相关技术支持方案。 评审标准：以上4项评审内容全面详细、阐述条理清晰详尽、符合本项目采购需求，能保障本项目实施得20分，其中每有一项内容存在缺项或漏项的扣5分，每项内容中每有一处存在缺陷的扣1分，该项分值扣完为止，未提供不得分。 备注：“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①质量保证承诺：承诺所供产品均符合国家及行业标准、全新合格品，杜绝假冒伪劣、以次充好，提供得2分。未提供不得分； ②应急配送承诺：承诺安排专人做到24小时应急配送，提供得2分。未提供不得分；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01月01日以来同似项目业绩进行评审（以加盖供应商公章的合同复印件和相应的验收文件作为评审依据）,每提供一份有效业绩证明文件（即合同和相应的验收文件二者同时出具方为有效）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磋商报价为有效磋商报价，以最后磋商报价最低的报价为评审基准价，其价格分为满分。其他供应商的价格分统一按照下列公式计算：磋商报价得分=（磋商基准价/磋商评审价）×30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