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版本号：ZHZB-2026-2420260402003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2026年西安市钟鼓楼博物馆临时展览项目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ZHZB-2026-24</w:t>
      </w:r>
      <w:r>
        <w:br/>
      </w:r>
      <w:r>
        <w:br/>
      </w:r>
      <w:r>
        <w:br/>
      </w:r>
    </w:p>
    <w:p>
      <w:pPr>
        <w:pStyle w:val="null3"/>
        <w:jc w:val="center"/>
        <w:outlineLvl w:val="2"/>
      </w:pPr>
      <w:r>
        <w:rPr>
          <w:rFonts w:ascii="仿宋_GB2312" w:hAnsi="仿宋_GB2312" w:cs="仿宋_GB2312" w:eastAsia="仿宋_GB2312"/>
          <w:sz w:val="28"/>
          <w:b/>
        </w:rPr>
        <w:t>西安市钟鼓楼保管所</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西安市钟鼓楼保管所</w:t>
      </w:r>
      <w:r>
        <w:rPr>
          <w:rFonts w:ascii="仿宋_GB2312" w:hAnsi="仿宋_GB2312" w:cs="仿宋_GB2312" w:eastAsia="仿宋_GB2312"/>
        </w:rPr>
        <w:t>委托，拟对</w:t>
      </w:r>
      <w:r>
        <w:rPr>
          <w:rFonts w:ascii="仿宋_GB2312" w:hAnsi="仿宋_GB2312" w:cs="仿宋_GB2312" w:eastAsia="仿宋_GB2312"/>
        </w:rPr>
        <w:t>2026年西安市钟鼓楼博物馆临时展览项目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2026年西安市钟鼓楼博物馆临时展览项目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安市钟鼓楼博物馆临时展览项目，采购3个主题展览（古金银铜器、助残非遗、石门十三品拓片）的设计、制作、安装及配套服务。项目旨在打造兼具吸引力与教育意义的沉浸式、互动式展览，严格遵守安全规范与古建筑施工要求，采用防火材料及稳定可靠的数字媒体设备，实施范围涵盖布展服务、展厅陈设、配套设施及硬件升级等核心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采购包1（2026年西安市钟鼓楼博物馆临时展览项目）：属于专门面向中小企业采购。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1、特定资格要求：（1）供应商的营业执照等证明文件，自然人的身份证明；(2) 法定代表人参加磋商的，提供法定代表人身份证明及本人身份证复印件；法定代表人授权他人参加磋商的，提供法定代表人委托授权书并出示被授权代表的身份证复印件；（3）提供2024年度或2025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西安市钟鼓楼保管所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西安市莲湖区北大街2号金钟大厦B座945室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刘佳琪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18502969818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张盼、王臻、王阿磊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15502905959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代理服务费收费标准：参照国家发展和改革委员会颁发的《关于进一步放开建设项目专业服务价格的通知》（发改价格〔2015〕299号），代理服务费不足捌仟元按柒仟元（¥8000.00元）收取。 代理服务费缴纳账户信息： 银行户名：众合国际项目管理有限公司 开户银行：西安银行股份有限公司高新四路支行 账 号：6110 1158 0000 0858 34 注：转账时备注项目名称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西安市钟鼓楼保管所</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西安市钟鼓楼保管所</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西安市钟鼓楼保管所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联系人：张盼、王臻、王阿磊</w:t>
      </w:r>
    </w:p>
    <w:p>
      <w:pPr>
        <w:pStyle w:val="null3"/>
      </w:pPr>
      <w:r>
        <w:rPr>
          <w:rFonts w:ascii="仿宋_GB2312" w:hAnsi="仿宋_GB2312" w:cs="仿宋_GB2312" w:eastAsia="仿宋_GB2312"/>
        </w:rPr>
        <w:t>联系电话：15502905959</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市钟鼓楼博物馆临时展览项目，采购3个主题展览（古金银铜器、助残非遗、石门十三品拓片）的设计、制作、安装及配套服务。项目旨在打造兼具吸引力与教育意义的沉浸式、互动式展览，严格遵守安全规范与古建筑施工要求，采用防火材料及稳定可靠的数字媒体设备，实施范围涵盖布展服务、展厅陈设、配套设施及硬件升级等核心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临时展览服务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标的名称：临时展览服务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一、服务内容：</w:t>
            </w:r>
          </w:p>
          <w:p>
            <w:pPr>
              <w:pStyle w:val="null3"/>
              <w:ind w:firstLine="420"/>
            </w:pPr>
            <w:r>
              <w:rPr>
                <w:rFonts w:ascii="仿宋_GB2312" w:hAnsi="仿宋_GB2312" w:cs="仿宋_GB2312" w:eastAsia="仿宋_GB2312"/>
                <w:sz w:val="21"/>
                <w:color w:val="000000"/>
              </w:rPr>
              <w:t>西安市钟鼓楼博物馆</w:t>
            </w:r>
            <w:r>
              <w:rPr>
                <w:rFonts w:ascii="仿宋_GB2312" w:hAnsi="仿宋_GB2312" w:cs="仿宋_GB2312" w:eastAsia="仿宋_GB2312"/>
                <w:sz w:val="21"/>
                <w:color w:val="000000"/>
              </w:rPr>
              <w:t>2026</w:t>
            </w:r>
            <w:r>
              <w:rPr>
                <w:rFonts w:ascii="仿宋_GB2312" w:hAnsi="仿宋_GB2312" w:cs="仿宋_GB2312" w:eastAsia="仿宋_GB2312"/>
                <w:sz w:val="21"/>
                <w:color w:val="000000"/>
              </w:rPr>
              <w:t>年临时展览形式设计、制作、安装及其配套服务项目，本次展览数量共</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个，分别是古金银铜器展览、助残非遗展览和石门十三品拓片展览。</w:t>
            </w:r>
          </w:p>
          <w:p>
            <w:pPr>
              <w:pStyle w:val="null3"/>
              <w:ind w:firstLine="420"/>
            </w:pPr>
            <w:r>
              <w:rPr>
                <w:rFonts w:ascii="仿宋_GB2312" w:hAnsi="仿宋_GB2312" w:cs="仿宋_GB2312" w:eastAsia="仿宋_GB2312"/>
                <w:sz w:val="21"/>
                <w:color w:val="000000"/>
              </w:rPr>
              <w:t>本次采购内容包含但不限于以下事项，其中所有涉及古建筑现场作业的环节，均需以保护古建筑本体文物安全和消防安全为首要前提，具体如下：</w:t>
            </w:r>
          </w:p>
          <w:p>
            <w:pPr>
              <w:pStyle w:val="null3"/>
              <w:ind w:left="420"/>
            </w:pPr>
            <w:r>
              <w:rPr>
                <w:rFonts w:ascii="仿宋_GB2312" w:hAnsi="仿宋_GB2312" w:cs="仿宋_GB2312" w:eastAsia="仿宋_GB2312"/>
                <w:sz w:val="21"/>
                <w:color w:val="000000"/>
              </w:rPr>
              <w:t>①完成展览形式</w:t>
            </w:r>
            <w:r>
              <w:rPr>
                <w:rFonts w:ascii="仿宋_GB2312" w:hAnsi="仿宋_GB2312" w:cs="仿宋_GB2312" w:eastAsia="仿宋_GB2312"/>
                <w:sz w:val="21"/>
                <w:color w:val="000000"/>
              </w:rPr>
              <w:t>设计</w:t>
            </w:r>
            <w:r>
              <w:rPr>
                <w:rFonts w:ascii="仿宋_GB2312" w:hAnsi="仿宋_GB2312" w:cs="仿宋_GB2312" w:eastAsia="仿宋_GB2312"/>
                <w:sz w:val="21"/>
                <w:color w:val="000000"/>
              </w:rPr>
              <w:t>：依据采购人提供的文本大纲及</w:t>
            </w:r>
            <w:r>
              <w:rPr>
                <w:rFonts w:ascii="仿宋_GB2312" w:hAnsi="仿宋_GB2312" w:cs="仿宋_GB2312" w:eastAsia="仿宋_GB2312"/>
                <w:sz w:val="21"/>
                <w:color w:val="000000"/>
              </w:rPr>
              <w:t>现场</w:t>
            </w:r>
            <w:r>
              <w:rPr>
                <w:rFonts w:ascii="仿宋_GB2312" w:hAnsi="仿宋_GB2312" w:cs="仿宋_GB2312" w:eastAsia="仿宋_GB2312"/>
                <w:sz w:val="21"/>
                <w:color w:val="000000"/>
              </w:rPr>
              <w:t>展厅</w:t>
            </w:r>
            <w:r>
              <w:rPr>
                <w:rFonts w:ascii="仿宋_GB2312" w:hAnsi="仿宋_GB2312" w:cs="仿宋_GB2312" w:eastAsia="仿宋_GB2312"/>
                <w:sz w:val="21"/>
                <w:color w:val="000000"/>
              </w:rPr>
              <w:t>情况</w:t>
            </w:r>
            <w:r>
              <w:rPr>
                <w:rFonts w:ascii="仿宋_GB2312" w:hAnsi="仿宋_GB2312" w:cs="仿宋_GB2312" w:eastAsia="仿宋_GB2312"/>
                <w:sz w:val="21"/>
                <w:color w:val="000000"/>
              </w:rPr>
              <w:t>，完成形式设计，并提供形式设计图（包括形式设计效果图、展示效果图、展览空间设计图、展线设计图、陈展顺序、辅展说明等）；</w:t>
            </w:r>
          </w:p>
          <w:p>
            <w:pPr>
              <w:pStyle w:val="null3"/>
              <w:ind w:firstLine="420"/>
            </w:pPr>
            <w:r>
              <w:rPr>
                <w:rFonts w:ascii="仿宋_GB2312" w:hAnsi="仿宋_GB2312" w:cs="仿宋_GB2312" w:eastAsia="仿宋_GB2312"/>
                <w:sz w:val="21"/>
                <w:color w:val="000000"/>
              </w:rPr>
              <w:t>②布展部分：在严格保护古建筑本体文物安全的前提下，完成现场布展工作；</w:t>
            </w:r>
          </w:p>
          <w:p>
            <w:pPr>
              <w:pStyle w:val="null3"/>
              <w:ind w:firstLine="420"/>
            </w:pPr>
            <w:r>
              <w:rPr>
                <w:rFonts w:ascii="仿宋_GB2312" w:hAnsi="仿宋_GB2312" w:cs="仿宋_GB2312" w:eastAsia="仿宋_GB2312"/>
                <w:sz w:val="21"/>
                <w:color w:val="000000"/>
              </w:rPr>
              <w:t>③辅助展品部分：重点展品、场景制作、艺术装置等辅助展品；</w:t>
            </w:r>
          </w:p>
          <w:p>
            <w:pPr>
              <w:pStyle w:val="null3"/>
              <w:ind w:firstLine="420"/>
            </w:pPr>
            <w:r>
              <w:rPr>
                <w:rFonts w:ascii="仿宋_GB2312" w:hAnsi="仿宋_GB2312" w:cs="仿宋_GB2312" w:eastAsia="仿宋_GB2312"/>
                <w:sz w:val="21"/>
                <w:color w:val="000000"/>
              </w:rPr>
              <w:t>④场景部分：主题场景及模型制作、搭建等；</w:t>
            </w:r>
          </w:p>
          <w:p>
            <w:pPr>
              <w:pStyle w:val="null3"/>
              <w:ind w:firstLine="420"/>
            </w:pPr>
            <w:r>
              <w:rPr>
                <w:rFonts w:ascii="仿宋_GB2312" w:hAnsi="仿宋_GB2312" w:cs="仿宋_GB2312" w:eastAsia="仿宋_GB2312"/>
                <w:sz w:val="21"/>
                <w:color w:val="000000"/>
              </w:rPr>
              <w:t>⑤展陈设施：定制展台、展架等展陈配套设施；</w:t>
            </w:r>
          </w:p>
          <w:p>
            <w:pPr>
              <w:pStyle w:val="null3"/>
              <w:ind w:firstLine="420"/>
            </w:pPr>
            <w:r>
              <w:rPr>
                <w:rFonts w:ascii="仿宋_GB2312" w:hAnsi="仿宋_GB2312" w:cs="仿宋_GB2312" w:eastAsia="仿宋_GB2312"/>
                <w:sz w:val="21"/>
                <w:color w:val="000000"/>
              </w:rPr>
              <w:t>⑥专业灯具部分：根据</w:t>
            </w:r>
            <w:r>
              <w:rPr>
                <w:rFonts w:ascii="仿宋_GB2312" w:hAnsi="仿宋_GB2312" w:cs="仿宋_GB2312" w:eastAsia="仿宋_GB2312"/>
                <w:sz w:val="21"/>
                <w:color w:val="000000"/>
              </w:rPr>
              <w:t>展览需求，</w:t>
            </w:r>
            <w:r>
              <w:rPr>
                <w:rFonts w:ascii="仿宋_GB2312" w:hAnsi="仿宋_GB2312" w:cs="仿宋_GB2312" w:eastAsia="仿宋_GB2312"/>
                <w:sz w:val="21"/>
                <w:color w:val="000000"/>
              </w:rPr>
              <w:t>购置轨道灯</w:t>
            </w:r>
            <w:r>
              <w:rPr>
                <w:rFonts w:ascii="仿宋_GB2312" w:hAnsi="仿宋_GB2312" w:cs="仿宋_GB2312" w:eastAsia="仿宋_GB2312"/>
                <w:sz w:val="21"/>
                <w:color w:val="000000"/>
              </w:rPr>
              <w:t>、筒灯等</w:t>
            </w:r>
            <w:r>
              <w:rPr>
                <w:rFonts w:ascii="仿宋_GB2312" w:hAnsi="仿宋_GB2312" w:cs="仿宋_GB2312" w:eastAsia="仿宋_GB2312"/>
                <w:sz w:val="21"/>
                <w:color w:val="000000"/>
              </w:rPr>
              <w:t>专业灯具，</w:t>
            </w:r>
            <w:r>
              <w:rPr>
                <w:rFonts w:ascii="仿宋_GB2312" w:hAnsi="仿宋_GB2312" w:cs="仿宋_GB2312" w:eastAsia="仿宋_GB2312"/>
                <w:sz w:val="21"/>
                <w:color w:val="000000"/>
              </w:rPr>
              <w:t>并进行</w:t>
            </w:r>
            <w:r>
              <w:rPr>
                <w:rFonts w:ascii="仿宋_GB2312" w:hAnsi="仿宋_GB2312" w:cs="仿宋_GB2312" w:eastAsia="仿宋_GB2312"/>
                <w:sz w:val="21"/>
                <w:color w:val="000000"/>
              </w:rPr>
              <w:t>安装和调试等；</w:t>
            </w:r>
          </w:p>
          <w:p>
            <w:pPr>
              <w:pStyle w:val="null3"/>
              <w:ind w:firstLine="420"/>
            </w:pPr>
            <w:r>
              <w:rPr>
                <w:rFonts w:ascii="仿宋_GB2312" w:hAnsi="仿宋_GB2312" w:cs="仿宋_GB2312" w:eastAsia="仿宋_GB2312"/>
                <w:sz w:val="21"/>
                <w:color w:val="000000"/>
              </w:rPr>
              <w:t>⑦多媒体部分：提供多媒体沉浸展项、互动体验项等多媒体展项的设计及多媒体硬件和软件购置、影片制作等，安装和调试网络设备等内容；</w:t>
            </w:r>
          </w:p>
          <w:p>
            <w:pPr>
              <w:pStyle w:val="null3"/>
              <w:ind w:firstLine="420"/>
            </w:pPr>
            <w:r>
              <w:rPr>
                <w:rFonts w:ascii="仿宋_GB2312" w:hAnsi="仿宋_GB2312" w:cs="仿宋_GB2312" w:eastAsia="仿宋_GB2312"/>
                <w:sz w:val="21"/>
                <w:color w:val="000000"/>
              </w:rPr>
              <w:t>⑧其他配套：对所有展示文字进行专业英文翻译（委托专业英文翻译人员，最终形成高质量翻译成果；展览文本包含展览文字大纲及文物标牌等内容），展陈物料定制、邀请函设计印刷、展览宣传影音拍摄，全流程费用概算编制，完成展览布展所需货物的采购及相关配套服务等。</w:t>
            </w:r>
          </w:p>
          <w:p>
            <w:pPr>
              <w:pStyle w:val="null3"/>
              <w:ind w:firstLine="420"/>
            </w:pPr>
            <w:r>
              <w:rPr>
                <w:rFonts w:ascii="仿宋_GB2312" w:hAnsi="仿宋_GB2312" w:cs="仿宋_GB2312" w:eastAsia="仿宋_GB2312"/>
                <w:sz w:val="21"/>
                <w:color w:val="000000"/>
              </w:rPr>
              <w:t>⑨展览售后服务。</w:t>
            </w:r>
          </w:p>
          <w:p>
            <w:pPr>
              <w:pStyle w:val="null3"/>
              <w:ind w:firstLine="420"/>
            </w:pPr>
            <w:r>
              <w:rPr>
                <w:rFonts w:ascii="仿宋_GB2312" w:hAnsi="仿宋_GB2312" w:cs="仿宋_GB2312" w:eastAsia="仿宋_GB2312"/>
                <w:sz w:val="21"/>
                <w:b/>
                <w:color w:val="FF0000"/>
              </w:rPr>
              <w:t>重要说明</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各供应商在获取磋商文件的同时可获取三项展览的大纲及文物清单，大纲及清单只能用作本次项目使用，不可作它用；并按磋商文件要求签订保密协议，未履行保密义务的供应商自行承担相应后果。现在发布的文本大纲</w:t>
            </w:r>
            <w:r>
              <w:rPr>
                <w:rFonts w:ascii="仿宋_GB2312" w:hAnsi="仿宋_GB2312" w:cs="仿宋_GB2312" w:eastAsia="仿宋_GB2312"/>
                <w:sz w:val="21"/>
                <w:b/>
                <w:color w:val="FF0000"/>
              </w:rPr>
              <w:t>和</w:t>
            </w:r>
            <w:r>
              <w:rPr>
                <w:rFonts w:ascii="仿宋_GB2312" w:hAnsi="仿宋_GB2312" w:cs="仿宋_GB2312" w:eastAsia="仿宋_GB2312"/>
                <w:sz w:val="21"/>
                <w:b/>
                <w:color w:val="FF0000"/>
              </w:rPr>
              <w:t>展品清单</w:t>
            </w:r>
            <w:r>
              <w:rPr>
                <w:rFonts w:ascii="仿宋_GB2312" w:hAnsi="仿宋_GB2312" w:cs="仿宋_GB2312" w:eastAsia="仿宋_GB2312"/>
                <w:sz w:val="21"/>
                <w:b/>
                <w:color w:val="FF0000"/>
              </w:rPr>
              <w:t>为拟定的文本大纲</w:t>
            </w:r>
            <w:r>
              <w:rPr>
                <w:rFonts w:ascii="仿宋_GB2312" w:hAnsi="仿宋_GB2312" w:cs="仿宋_GB2312" w:eastAsia="仿宋_GB2312"/>
                <w:sz w:val="21"/>
                <w:b/>
                <w:color w:val="FF0000"/>
              </w:rPr>
              <w:t>和展品清单</w:t>
            </w:r>
            <w:r>
              <w:rPr>
                <w:rFonts w:ascii="仿宋_GB2312" w:hAnsi="仿宋_GB2312" w:cs="仿宋_GB2312" w:eastAsia="仿宋_GB2312"/>
                <w:sz w:val="21"/>
                <w:b/>
                <w:color w:val="FF0000"/>
              </w:rPr>
              <w:t>，最终以采购人在项目实施过程中给定的为准</w:t>
            </w:r>
            <w:r>
              <w:rPr>
                <w:rFonts w:ascii="仿宋_GB2312" w:hAnsi="仿宋_GB2312" w:cs="仿宋_GB2312" w:eastAsia="仿宋_GB2312"/>
                <w:sz w:val="21"/>
                <w:b/>
                <w:color w:val="FF0000"/>
              </w:rPr>
              <w:t>。</w:t>
            </w:r>
          </w:p>
          <w:p>
            <w:pPr>
              <w:pStyle w:val="null3"/>
            </w:pPr>
            <w:r>
              <w:rPr>
                <w:rFonts w:ascii="仿宋_GB2312" w:hAnsi="仿宋_GB2312" w:cs="仿宋_GB2312" w:eastAsia="仿宋_GB2312"/>
                <w:sz w:val="21"/>
                <w:color w:val="000000"/>
              </w:rPr>
              <w:t>二、功能目标：</w:t>
            </w:r>
          </w:p>
          <w:p>
            <w:pPr>
              <w:pStyle w:val="null3"/>
              <w:ind w:firstLine="420"/>
            </w:pPr>
            <w:r>
              <w:rPr>
                <w:rFonts w:ascii="仿宋_GB2312" w:hAnsi="仿宋_GB2312" w:cs="仿宋_GB2312" w:eastAsia="仿宋_GB2312"/>
                <w:sz w:val="21"/>
                <w:color w:val="000000"/>
              </w:rPr>
              <w:t>以精心策划与专业设计为支撑，打造兼具吸引力与教育意义的优质展览，鲜明凸显主题内核，持续提升展览整体品质。依托数字媒体技术，为观众打造沉浸式、互动式观展场景，有效丰富并优化观展体验。严格恪守安全标准与古建筑施工各项规范，扎实推进设计、布展及安装全流程工作，秉持严谨负责的态度，为观众营造安全舒适、兼具人文氛围的观展空间。</w:t>
            </w:r>
          </w:p>
          <w:p>
            <w:pPr>
              <w:pStyle w:val="null3"/>
            </w:pPr>
            <w:r>
              <w:rPr>
                <w:rFonts w:ascii="仿宋_GB2312" w:hAnsi="仿宋_GB2312" w:cs="仿宋_GB2312" w:eastAsia="仿宋_GB2312"/>
                <w:sz w:val="21"/>
                <w:color w:val="000000"/>
              </w:rPr>
              <w:t>三、满足要求：</w:t>
            </w:r>
          </w:p>
          <w:p>
            <w:pPr>
              <w:pStyle w:val="null3"/>
              <w:ind w:firstLine="420"/>
            </w:pPr>
            <w:r>
              <w:rPr>
                <w:rFonts w:ascii="仿宋_GB2312" w:hAnsi="仿宋_GB2312" w:cs="仿宋_GB2312" w:eastAsia="仿宋_GB2312"/>
                <w:sz w:val="21"/>
                <w:color w:val="000000"/>
              </w:rPr>
              <w:t>展览形式设计需深度贴合主题，在传承传统文化精髓的基础上融合现代设计理念，增强展览的新颖性与独特性。所采用的数字媒体应用及互动装置需具备稳定可靠性，保障展览全程顺畅运行。同时，所有使用的材料均为防火材料，严格杜绝各类安全隐患。项目实施范围涵盖布展服务、展厅陈设、展览配套设施设备及展厅硬件升级等核心内容。</w:t>
            </w:r>
          </w:p>
          <w:p>
            <w:pPr>
              <w:pStyle w:val="null3"/>
            </w:pPr>
            <w:r>
              <w:rPr>
                <w:rFonts w:ascii="仿宋_GB2312" w:hAnsi="仿宋_GB2312" w:cs="仿宋_GB2312" w:eastAsia="仿宋_GB2312"/>
                <w:sz w:val="21"/>
                <w:color w:val="000000"/>
              </w:rPr>
              <w:t>四、商务要求</w:t>
            </w:r>
          </w:p>
          <w:p>
            <w:pPr>
              <w:pStyle w:val="null3"/>
              <w:ind w:firstLine="400"/>
            </w:pPr>
            <w:r>
              <w:rPr>
                <w:rFonts w:ascii="仿宋_GB2312" w:hAnsi="仿宋_GB2312" w:cs="仿宋_GB2312" w:eastAsia="仿宋_GB2312"/>
              </w:rPr>
              <w:t>1</w:t>
            </w:r>
            <w:r>
              <w:rPr>
                <w:rFonts w:ascii="仿宋_GB2312" w:hAnsi="仿宋_GB2312" w:cs="仿宋_GB2312" w:eastAsia="仿宋_GB2312"/>
              </w:rPr>
              <w:t>、服务期限：自合同签订之日起</w:t>
            </w:r>
            <w:r>
              <w:rPr>
                <w:rFonts w:ascii="仿宋_GB2312" w:hAnsi="仿宋_GB2312" w:cs="仿宋_GB2312" w:eastAsia="仿宋_GB2312"/>
              </w:rPr>
              <w:t>2026</w:t>
            </w:r>
            <w:r>
              <w:rPr>
                <w:rFonts w:ascii="仿宋_GB2312" w:hAnsi="仿宋_GB2312" w:cs="仿宋_GB2312" w:eastAsia="仿宋_GB2312"/>
              </w:rPr>
              <w:t>年</w:t>
            </w:r>
            <w:r>
              <w:rPr>
                <w:rFonts w:ascii="仿宋_GB2312" w:hAnsi="仿宋_GB2312" w:cs="仿宋_GB2312" w:eastAsia="仿宋_GB2312"/>
              </w:rPr>
              <w:t>8</w:t>
            </w:r>
            <w:r>
              <w:rPr>
                <w:rFonts w:ascii="仿宋_GB2312" w:hAnsi="仿宋_GB2312" w:cs="仿宋_GB2312" w:eastAsia="仿宋_GB2312"/>
              </w:rPr>
              <w:t>月</w:t>
            </w:r>
            <w:r>
              <w:rPr>
                <w:rFonts w:ascii="仿宋_GB2312" w:hAnsi="仿宋_GB2312" w:cs="仿宋_GB2312" w:eastAsia="仿宋_GB2312"/>
              </w:rPr>
              <w:t>1</w:t>
            </w:r>
            <w:r>
              <w:rPr>
                <w:rFonts w:ascii="仿宋_GB2312" w:hAnsi="仿宋_GB2312" w:cs="仿宋_GB2312" w:eastAsia="仿宋_GB2312"/>
              </w:rPr>
              <w:t>日完成全部项目内容。</w:t>
            </w:r>
          </w:p>
          <w:p>
            <w:pPr>
              <w:pStyle w:val="null3"/>
              <w:ind w:firstLine="400"/>
            </w:pPr>
            <w:r>
              <w:rPr>
                <w:rFonts w:ascii="仿宋_GB2312" w:hAnsi="仿宋_GB2312" w:cs="仿宋_GB2312" w:eastAsia="仿宋_GB2312"/>
              </w:rPr>
              <w:t>2</w:t>
            </w:r>
            <w:r>
              <w:rPr>
                <w:rFonts w:ascii="仿宋_GB2312" w:hAnsi="仿宋_GB2312" w:cs="仿宋_GB2312" w:eastAsia="仿宋_GB2312"/>
              </w:rPr>
              <w:t>、服务地点：采购人指定地点。</w:t>
            </w:r>
          </w:p>
          <w:p>
            <w:pPr>
              <w:pStyle w:val="null3"/>
              <w:ind w:firstLine="400"/>
            </w:pPr>
            <w:r>
              <w:rPr>
                <w:rFonts w:ascii="仿宋_GB2312" w:hAnsi="仿宋_GB2312" w:cs="仿宋_GB2312" w:eastAsia="仿宋_GB2312"/>
              </w:rPr>
              <w:t>3</w:t>
            </w:r>
            <w:r>
              <w:rPr>
                <w:rFonts w:ascii="仿宋_GB2312" w:hAnsi="仿宋_GB2312" w:cs="仿宋_GB2312" w:eastAsia="仿宋_GB2312"/>
              </w:rPr>
              <w:t>、付款方式</w:t>
            </w:r>
          </w:p>
          <w:p>
            <w:pPr>
              <w:pStyle w:val="null3"/>
              <w:ind w:firstLine="400"/>
            </w:pPr>
            <w:r>
              <w:rPr>
                <w:rFonts w:ascii="仿宋_GB2312" w:hAnsi="仿宋_GB2312" w:cs="仿宋_GB2312" w:eastAsia="仿宋_GB2312"/>
              </w:rPr>
              <w:t>采购包</w:t>
            </w:r>
            <w:r>
              <w:rPr>
                <w:rFonts w:ascii="仿宋_GB2312" w:hAnsi="仿宋_GB2312" w:cs="仿宋_GB2312" w:eastAsia="仿宋_GB2312"/>
              </w:rPr>
              <w:t>1</w:t>
            </w:r>
            <w:r>
              <w:rPr>
                <w:rFonts w:ascii="仿宋_GB2312" w:hAnsi="仿宋_GB2312" w:cs="仿宋_GB2312" w:eastAsia="仿宋_GB2312"/>
              </w:rPr>
              <w:t>： 付款条件说明： 合同签订后甲方向乙方支付预付款，达到付款条件起</w:t>
            </w:r>
            <w:r>
              <w:rPr>
                <w:rFonts w:ascii="仿宋_GB2312" w:hAnsi="仿宋_GB2312" w:cs="仿宋_GB2312" w:eastAsia="仿宋_GB2312"/>
              </w:rPr>
              <w:t>10</w:t>
            </w:r>
            <w:r>
              <w:rPr>
                <w:rFonts w:ascii="仿宋_GB2312" w:hAnsi="仿宋_GB2312" w:cs="仿宋_GB2312" w:eastAsia="仿宋_GB2312"/>
              </w:rPr>
              <w:t xml:space="preserve">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ind w:firstLine="400"/>
            </w:pPr>
            <w:r>
              <w:rPr>
                <w:rFonts w:ascii="仿宋_GB2312" w:hAnsi="仿宋_GB2312" w:cs="仿宋_GB2312" w:eastAsia="仿宋_GB2312"/>
              </w:rPr>
              <w:t>采购包</w:t>
            </w:r>
            <w:r>
              <w:rPr>
                <w:rFonts w:ascii="仿宋_GB2312" w:hAnsi="仿宋_GB2312" w:cs="仿宋_GB2312" w:eastAsia="仿宋_GB2312"/>
              </w:rPr>
              <w:t>1</w:t>
            </w:r>
            <w:r>
              <w:rPr>
                <w:rFonts w:ascii="仿宋_GB2312" w:hAnsi="仿宋_GB2312" w:cs="仿宋_GB2312" w:eastAsia="仿宋_GB2312"/>
              </w:rPr>
              <w:t xml:space="preserve">： 付款条件说明： 第一项临时展览工作完成并验收合格后 ，达到付款条件起 </w:t>
            </w:r>
            <w:r>
              <w:rPr>
                <w:rFonts w:ascii="仿宋_GB2312" w:hAnsi="仿宋_GB2312" w:cs="仿宋_GB2312" w:eastAsia="仿宋_GB2312"/>
              </w:rPr>
              <w:t xml:space="preserve">10 </w:t>
            </w:r>
            <w:r>
              <w:rPr>
                <w:rFonts w:ascii="仿宋_GB2312" w:hAnsi="仿宋_GB2312" w:cs="仿宋_GB2312" w:eastAsia="仿宋_GB2312"/>
              </w:rPr>
              <w:t xml:space="preserve">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ind w:firstLine="400"/>
            </w:pPr>
            <w:r>
              <w:rPr>
                <w:rFonts w:ascii="仿宋_GB2312" w:hAnsi="仿宋_GB2312" w:cs="仿宋_GB2312" w:eastAsia="仿宋_GB2312"/>
              </w:rPr>
              <w:t>采购包</w:t>
            </w:r>
            <w:r>
              <w:rPr>
                <w:rFonts w:ascii="仿宋_GB2312" w:hAnsi="仿宋_GB2312" w:cs="仿宋_GB2312" w:eastAsia="仿宋_GB2312"/>
              </w:rPr>
              <w:t>1</w:t>
            </w:r>
            <w:r>
              <w:rPr>
                <w:rFonts w:ascii="仿宋_GB2312" w:hAnsi="仿宋_GB2312" w:cs="仿宋_GB2312" w:eastAsia="仿宋_GB2312"/>
              </w:rPr>
              <w:t xml:space="preserve">： 付款条件说明： 第二项临时展览工作完成并验收合格后 ，达到付款条件起 </w:t>
            </w:r>
            <w:r>
              <w:rPr>
                <w:rFonts w:ascii="仿宋_GB2312" w:hAnsi="仿宋_GB2312" w:cs="仿宋_GB2312" w:eastAsia="仿宋_GB2312"/>
              </w:rPr>
              <w:t xml:space="preserve">10 </w:t>
            </w:r>
            <w:r>
              <w:rPr>
                <w:rFonts w:ascii="仿宋_GB2312" w:hAnsi="仿宋_GB2312" w:cs="仿宋_GB2312" w:eastAsia="仿宋_GB2312"/>
              </w:rPr>
              <w:t xml:space="preserve">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ind w:firstLine="400"/>
            </w:pPr>
            <w:r>
              <w:rPr>
                <w:rFonts w:ascii="仿宋_GB2312" w:hAnsi="仿宋_GB2312" w:cs="仿宋_GB2312" w:eastAsia="仿宋_GB2312"/>
              </w:rPr>
              <w:t>采购包</w:t>
            </w:r>
            <w:r>
              <w:rPr>
                <w:rFonts w:ascii="仿宋_GB2312" w:hAnsi="仿宋_GB2312" w:cs="仿宋_GB2312" w:eastAsia="仿宋_GB2312"/>
              </w:rPr>
              <w:t>1</w:t>
            </w:r>
            <w:r>
              <w:rPr>
                <w:rFonts w:ascii="仿宋_GB2312" w:hAnsi="仿宋_GB2312" w:cs="仿宋_GB2312" w:eastAsia="仿宋_GB2312"/>
              </w:rPr>
              <w:t>： 付款条件说明： 第三项临时展览工作完成，在项目验收合格并通过决算评审，甲方向乙方支付尾款，支付至决算金额的</w:t>
            </w:r>
            <w:r>
              <w:rPr>
                <w:rFonts w:ascii="仿宋_GB2312" w:hAnsi="仿宋_GB2312" w:cs="仿宋_GB2312" w:eastAsia="仿宋_GB2312"/>
              </w:rPr>
              <w:t xml:space="preserve">100% </w:t>
            </w:r>
            <w:r>
              <w:rPr>
                <w:rFonts w:ascii="仿宋_GB2312" w:hAnsi="仿宋_GB2312" w:cs="仿宋_GB2312" w:eastAsia="仿宋_GB2312"/>
              </w:rPr>
              <w:t>，达到付款条件起</w:t>
            </w:r>
            <w:r>
              <w:rPr>
                <w:rFonts w:ascii="仿宋_GB2312" w:hAnsi="仿宋_GB2312" w:cs="仿宋_GB2312" w:eastAsia="仿宋_GB2312"/>
              </w:rPr>
              <w:t xml:space="preserve">10 </w:t>
            </w:r>
            <w:r>
              <w:rPr>
                <w:rFonts w:ascii="仿宋_GB2312" w:hAnsi="仿宋_GB2312" w:cs="仿宋_GB2312" w:eastAsia="仿宋_GB2312"/>
              </w:rPr>
              <w:t xml:space="preserve">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ind w:firstLine="400"/>
            </w:pPr>
            <w:r>
              <w:rPr>
                <w:rFonts w:ascii="仿宋_GB2312" w:hAnsi="仿宋_GB2312" w:cs="仿宋_GB2312" w:eastAsia="仿宋_GB2312"/>
              </w:rPr>
              <w:t>甲方每次付款前，乙方需向甲方开具财务部门认可的等额发票。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项目团队建立完善，岗位职责明确，人员充足，确保项目有序运行。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每个单项临时展览需按照采购人确定的时间完成交付并验收合格。最后1项展览交付验收后，采购人以及监理单位组织进行竣工验收。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自合同签订之日起2026年8月1日完成全部项目内容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和磋商文件的要求、供应商提交的磋商响应文件、合同以及国家标准与行业规范的标准和规定执行；在实施过程中，如果国家或有关部门颁布了新的标准和规定，则供应商应采用新的标准和规定进行实施。供应商提出验收申请之日起7日内组织验收。验收合格后，填写验收单，双方盖章、签字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合同签订后甲方向乙方支付预付款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第一项临时展览工作完成并验收合格后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第二项临时展览工作完成并验收合格后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第三项临时展览工作完成，在项目验收合格并通过决算评审，甲方向乙方支付尾款，支付至决算金额的100%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投标文件2套，应通过专用制作软件直接打印，确保与电子投标文件保持一致，不允许修改和补充。提交地点：陕西省西安市莲湖区丰登南路3号1幢306室（丰庆公园北门往西200米PM中心三楼）。 二、供应商的磋商报价包括设计费、人工费、管理费、材料与设备费、安装费、维护费、保险费、采购代理费、税金、利润、风险、责任等所有费用。 三、恶意质疑、投诉的法律后果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四、签名是指手写签名或者加盖名章(含电子)，盖章是指加盖单位印章。四、本项目所属行业：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提供2024年度或2025年度经审计的财务会计报告或其提交响应文件截止时间前3个月内银行出具的资信证明。（以上形式的资料提供任何一种即可）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2）供应商是事业单位法人的，应提供2024或2025全年度经审计的财务报告，至少包括《资产负债表》《收入支出表或者收入费用表》《财政补助收入支出表》及其附注，或者提交响应文件截止时间前3个月内其基本账户开户银行出具的资信证明（附基本存款账户信息）； （3）其他组织和自然人，提供提交响应文件截止时间前3个月内银行出具的资信证明（附账户信息）；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（1）供应商的营业执照等证明文件，自然人的身份证明；(2) 法定代表人参加磋商的，提供法定代表人身份证明及本人身份证复印件；法定代表人授权他人参加磋商的，提供法定代表人委托授权书并出示被授权代表的身份证复印件；（3）提供2024年度或2025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商务技术部分.docx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应符合磋商文件中的要求</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商务技术部分.docx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资格证明部分.docx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资格证明部分.docx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报价表 商务技术部分.docx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保密协议</w:t>
            </w:r>
          </w:p>
        </w:tc>
        <w:tc>
          <w:tcPr>
            <w:tcW w:type="dxa" w:w="3322"/>
          </w:tcPr>
          <w:p>
            <w:pPr>
              <w:pStyle w:val="null3"/>
            </w:pPr>
            <w:r>
              <w:rPr>
                <w:rFonts w:ascii="仿宋_GB2312" w:hAnsi="仿宋_GB2312" w:cs="仿宋_GB2312" w:eastAsia="仿宋_GB2312"/>
              </w:rPr>
              <w:t>按磋商文件要求签订</w:t>
            </w:r>
          </w:p>
        </w:tc>
        <w:tc>
          <w:tcPr>
            <w:tcW w:type="dxa" w:w="1661"/>
          </w:tcPr>
          <w:p>
            <w:pPr>
              <w:pStyle w:val="null3"/>
            </w:pPr>
            <w:r>
              <w:rPr>
                <w:rFonts w:ascii="仿宋_GB2312" w:hAnsi="仿宋_GB2312" w:cs="仿宋_GB2312" w:eastAsia="仿宋_GB2312"/>
              </w:rPr>
              <w:t>商务技术部分.docx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业绩（满分9分） 具有2022年1月1日至今的同类业绩(以合同签订日期为准)，业绩以合同复印件为依据。每个业绩计3分，3个以上(含3个)得9分。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对项目的理解程度</w:t>
            </w:r>
          </w:p>
        </w:tc>
        <w:tc>
          <w:tcPr>
            <w:tcW w:type="dxa" w:w="2492"/>
          </w:tcPr>
          <w:p>
            <w:pPr>
              <w:pStyle w:val="null3"/>
            </w:pPr>
            <w:r>
              <w:rPr>
                <w:rFonts w:ascii="仿宋_GB2312" w:hAnsi="仿宋_GB2312" w:cs="仿宋_GB2312" w:eastAsia="仿宋_GB2312"/>
              </w:rPr>
              <w:t>一、评审内容 针对本项目提供对项目的理解，内容包括但不限于①项目背景及意义的理解；②项目重点难点分析及应对措施。 二、评分标准 每项内容详细完整、针对性强、可行性高，符合项目实际要求计2分，满分4分。各项每有一处内容存在缺陷扣0.5分，扣完为止，未提供或提供的内容与本项目不符计0分。 （备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形式设计方案</w:t>
            </w:r>
          </w:p>
        </w:tc>
        <w:tc>
          <w:tcPr>
            <w:tcW w:type="dxa" w:w="2492"/>
          </w:tcPr>
          <w:p>
            <w:pPr>
              <w:pStyle w:val="null3"/>
            </w:pPr>
            <w:r>
              <w:rPr>
                <w:rFonts w:ascii="仿宋_GB2312" w:hAnsi="仿宋_GB2312" w:cs="仿宋_GB2312" w:eastAsia="仿宋_GB2312"/>
              </w:rPr>
              <w:t>一、评审内容 供应商针对本项目提供形式设计方案，内容包含：①展览设计理念；②设计标准；③设计风格；④空间规划、展线设计；⑤设计效果图。 二、评分标准 每项内容契合展陈大纲，形式与内容高度统一，布局结构清晰合理，视觉效果风格贴合展览主题，并高度融入钟楼、鼓楼场景中计4分，满分20分。各项每有一处内容存在缺陷扣0.5分，扣完为止，未提供或提供的内容与本项目不符计0分。 （备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供应商针对本项目提供的项目实施方案，内容包括但不限于①布展总体实施方案②辅助展品及场景搭建方案③展陈设施定制方案④多媒体展项方案⑤其他配套方案。 二、评分标准 每项内容详细完整、针对性强、可行性高，符合项目实际要求计3分，满分15分。各项每有一处内容存在缺陷扣0.5分，扣完为止，未提供或提供的内容与本项目不符计0分。 （备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供应商针对本项目提供的服务质量保障措施，内容包括但不限于①质量目标控制及施工质量保障措施；②服务质量承诺。 二、评分标准 每项内容详细完整、针对性强、可行性高，符合项目实际要求计2分，满分4分。各项每有一处内容存在缺陷扣0.5分，扣完为止，未提供或提供的内容与本项目不符计0分。 （备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进度计划保障措施</w:t>
            </w:r>
          </w:p>
        </w:tc>
        <w:tc>
          <w:tcPr>
            <w:tcW w:type="dxa" w:w="2492"/>
          </w:tcPr>
          <w:p>
            <w:pPr>
              <w:pStyle w:val="null3"/>
            </w:pPr>
            <w:r>
              <w:rPr>
                <w:rFonts w:ascii="仿宋_GB2312" w:hAnsi="仿宋_GB2312" w:cs="仿宋_GB2312" w:eastAsia="仿宋_GB2312"/>
              </w:rPr>
              <w:t>一、评审内容 供应商针对本项目提供的进度计划保障措施，内容包括但不限于①进度计划安排；②进度保障措施。 二、评分标准 每项内容详细完整、针对性强、可行性高，符合项目实际要求计2分，满分4分。各项每有一处内容存在缺陷扣0.5分，扣完为止，未提供或提供的内容与本项目不符计0分。 （备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古建筑保护与文物安全专项方案安全施工方案</w:t>
            </w:r>
          </w:p>
        </w:tc>
        <w:tc>
          <w:tcPr>
            <w:tcW w:type="dxa" w:w="2492"/>
          </w:tcPr>
          <w:p>
            <w:pPr>
              <w:pStyle w:val="null3"/>
            </w:pPr>
            <w:r>
              <w:rPr>
                <w:rFonts w:ascii="仿宋_GB2312" w:hAnsi="仿宋_GB2312" w:cs="仿宋_GB2312" w:eastAsia="仿宋_GB2312"/>
              </w:rPr>
              <w:t>一、评审内容 针对本项目提供安全施工方案，内容包括但不限于①古建筑保护措施；②文物保护措施；③消防、用电安全施工措施；④所有材料均为防火材料，安全隐患防控措施。 二、评分标准 每项内容详细完整、针对性强、科学合理、可操作性强，符合项目实际要求计2分，满分8分。各项每有一处内容存在缺陷扣0.5分，扣完为止，未提供或提供的内容与本项目不符计0分。 （备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针对本项目提供应急预案，内容包括但不限于①应急响应时效；②应急响应保障方案和人员；③紧急医疗救援；④应对突发事件的处理措施。 二、评分标准 每项内容详细完整、针对性强、可行性高、响应迅速、处置有效，符合项目实际要求计2分，满分8分。各项每有一处内容存在缺陷扣0.5分，扣完为止，未提供或提供的内容与本项目不符计0分。 （备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团队人员配备1</w:t>
            </w:r>
          </w:p>
        </w:tc>
        <w:tc>
          <w:tcPr>
            <w:tcW w:type="dxa" w:w="2492"/>
          </w:tcPr>
          <w:p>
            <w:pPr>
              <w:pStyle w:val="null3"/>
            </w:pPr>
            <w:r>
              <w:rPr>
                <w:rFonts w:ascii="仿宋_GB2312" w:hAnsi="仿宋_GB2312" w:cs="仿宋_GB2312" w:eastAsia="仿宋_GB2312"/>
              </w:rPr>
              <w:t>一、评审内容 针对本项目提供团队人员配备方案，内容包括但不限于①团队组织架构；②岗位设置及工作分工；③岗位责任制度。 二、评分标准 ①团队组织架构（3分）：架构完整、层级清晰、符合项目需求计3分； 每存在1处缺陷扣0.5分； 扣完为止，未提供或提供的内容与本项目不符计0分。 ②岗位设置及工作分工（3分）：岗位设置全面、分工明确、权责清晰计3分； 每存在1处缺陷扣0.5分； 扣完为止，未提供或提供的内容与本项目不符计0分。 ③岗位责任制度（3分）：制度完善、责任到人、考核机制明确计3分； 每存在1处缺陷扣0.5分； 扣完为止，未提供或提供的内容与本项目不符计0分。 （备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团队人员配备2</w:t>
            </w:r>
          </w:p>
        </w:tc>
        <w:tc>
          <w:tcPr>
            <w:tcW w:type="dxa" w:w="2492"/>
          </w:tcPr>
          <w:p>
            <w:pPr>
              <w:pStyle w:val="null3"/>
            </w:pPr>
            <w:r>
              <w:rPr>
                <w:rFonts w:ascii="仿宋_GB2312" w:hAnsi="仿宋_GB2312" w:cs="仿宋_GB2312" w:eastAsia="仿宋_GB2312"/>
              </w:rPr>
              <w:t>团队中每提供一名具有英文专业翻译人员得1分，每提供一名艺术设计或环境设计或美术设计或室内设计或文博展陈设计等相关专业人员得1分，每提供一名建筑装饰或展陈施工或机电安装等相关专业人员得1分；未提供不得分。 注：需提供相关证明材料复印件并加盖公章。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展览售后服务</w:t>
            </w:r>
          </w:p>
        </w:tc>
        <w:tc>
          <w:tcPr>
            <w:tcW w:type="dxa" w:w="2492"/>
          </w:tcPr>
          <w:p>
            <w:pPr>
              <w:pStyle w:val="null3"/>
            </w:pPr>
            <w:r>
              <w:rPr>
                <w:rFonts w:ascii="仿宋_GB2312" w:hAnsi="仿宋_GB2312" w:cs="仿宋_GB2312" w:eastAsia="仿宋_GB2312"/>
              </w:rPr>
              <w:t>一、评审内容 供应商针对本项目特点提供展览售后服务方案，内容包括但不限于①响应时间②售后服务人员配备。 二、评分标准 每项内容详细完整、针对性强、可行性高，响应及时、应急保障有力，符合展览项目实际要求计2.5分，满分5分。各项每有一处内容存在缺陷扣0.5分，扣完为止，未提供或提供的内容与本项目不符计0分。 （备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投标产品中每有一项为节能产品经国家认证的得0.5分，每有一项为环境标志产品经国家认证的得0.5分，投标产品中每有一项产品 同时为节能产品和环境标志产品得0.5分，最多得1分。 注：以经国家确定的认证机构出具的、处于有效期内的节能产品、环境标志产品认证证书为准。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终最低报价为磋商基准价，其磋商报价为满分。其他供应商的价格分，统一按照下列公式计算：磋商报价得分=(磋商基准价／磋商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详见附件：商务技术部分.docx</w:t>
      </w:r>
    </w:p>
    <w:p>
      <w:pPr>
        <w:pStyle w:val="null3"/>
        <w:ind w:firstLine="960"/>
      </w:pPr>
      <w:r>
        <w:rPr>
          <w:rFonts w:ascii="仿宋_GB2312" w:hAnsi="仿宋_GB2312" w:cs="仿宋_GB2312" w:eastAsia="仿宋_GB2312"/>
        </w:rPr>
        <w:t>详见附件：资格证明部分.docx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