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版本号：ZX2026-03-1520260326001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全国城市联合招聘高校毕业生春季、秋季专场活动项目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ZX2026-03-15</w:t>
      </w:r>
      <w:r>
        <w:br/>
      </w:r>
      <w:r>
        <w:br/>
      </w:r>
      <w:r>
        <w:br/>
      </w:r>
    </w:p>
    <w:p>
      <w:pPr>
        <w:pStyle w:val="null3"/>
        <w:jc w:val="center"/>
        <w:outlineLvl w:val="2"/>
      </w:pPr>
      <w:r>
        <w:rPr>
          <w:rFonts w:ascii="仿宋_GB2312" w:hAnsi="仿宋_GB2312" w:cs="仿宋_GB2312" w:eastAsia="仿宋_GB2312"/>
          <w:sz w:val="28"/>
          <w:b/>
        </w:rPr>
        <w:t>西安市人才服务中心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西安市人才服务中心</w:t>
      </w:r>
      <w:r>
        <w:rPr>
          <w:rFonts w:ascii="仿宋_GB2312" w:hAnsi="仿宋_GB2312" w:cs="仿宋_GB2312" w:eastAsia="仿宋_GB2312"/>
        </w:rPr>
        <w:t>委托，拟对</w:t>
      </w:r>
      <w:r>
        <w:rPr>
          <w:rFonts w:ascii="仿宋_GB2312" w:hAnsi="仿宋_GB2312" w:cs="仿宋_GB2312" w:eastAsia="仿宋_GB2312"/>
        </w:rPr>
        <w:t>全国城市联合招聘高校毕业生春季、秋季专场活动项目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全国城市联合招聘高校毕业生春季、秋季专场活动项目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全国城市联合招聘高校毕业生春季、秋季专场活动项目，1项，具体内容详见磋商文件第三章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采购包1（全国城市联合招聘高校毕业生春季、秋季专场活动项目）：属于专门面向中小企业采购。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西安市人才服务中心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029-88360286-8104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马演 王宇轩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西安市人才服务中心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西安市人才服务中心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西安市人才服务中心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祁鑫</w:t>
      </w:r>
    </w:p>
    <w:p>
      <w:pPr>
        <w:pStyle w:val="null3"/>
      </w:pPr>
      <w:r>
        <w:rPr>
          <w:rFonts w:ascii="仿宋_GB2312" w:hAnsi="仿宋_GB2312" w:cs="仿宋_GB2312" w:eastAsia="仿宋_GB2312"/>
        </w:rPr>
        <w:t>联系电话：029-88110800转8032（邮箱号：438904813@qq.com）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2026年全国城市联合招聘高校毕业生春季、秋季专场活动项目。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全国城市联合招聘高校毕业生春秋季专场活动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标的名称：全国城市联合招聘高校毕业生春秋季专场活动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为持续聚焦高校毕业生等青年群体高质量充分就业需求，落实《人力资源社会保障部关于开展2026年全国公共就业招聘专项活动的通知》要求，计划开展全国城市联合招聘高校毕业生春季、秋季专场活动。通过本次活动进一步畅通跨区域人才流动渠道，精准对接产业人才供需，依托校地合作、校企协同搭建专业化对接平台，推动本地优质人才资源与发展需求高效匹配，助力人才价值充分释放。为保障活动有序开展，特制定本方案如下：</w:t>
            </w:r>
          </w:p>
          <w:p>
            <w:pPr>
              <w:pStyle w:val="null3"/>
            </w:pPr>
            <w:r>
              <w:rPr>
                <w:rFonts w:ascii="仿宋_GB2312" w:hAnsi="仿宋_GB2312" w:cs="仿宋_GB2312" w:eastAsia="仿宋_GB2312"/>
              </w:rPr>
              <w:t>一、活动主题</w:t>
            </w:r>
          </w:p>
          <w:p>
            <w:pPr>
              <w:pStyle w:val="null3"/>
            </w:pPr>
            <w:r>
              <w:rPr>
                <w:rFonts w:ascii="仿宋_GB2312" w:hAnsi="仿宋_GB2312" w:cs="仿宋_GB2312" w:eastAsia="仿宋_GB2312"/>
              </w:rPr>
              <w:t>2026年全国城市联合招聘高校毕业生春季、秋季专场活动</w:t>
            </w:r>
          </w:p>
          <w:p>
            <w:pPr>
              <w:pStyle w:val="null3"/>
            </w:pPr>
            <w:r>
              <w:rPr>
                <w:rFonts w:ascii="仿宋_GB2312" w:hAnsi="仿宋_GB2312" w:cs="仿宋_GB2312" w:eastAsia="仿宋_GB2312"/>
              </w:rPr>
              <w:t>二、组织机构</w:t>
            </w:r>
          </w:p>
          <w:p>
            <w:pPr>
              <w:pStyle w:val="null3"/>
            </w:pPr>
            <w:r>
              <w:rPr>
                <w:rFonts w:ascii="仿宋_GB2312" w:hAnsi="仿宋_GB2312" w:cs="仿宋_GB2312" w:eastAsia="仿宋_GB2312"/>
              </w:rPr>
              <w:t>主办单位：西安市人力资源和社会保障局</w:t>
            </w:r>
          </w:p>
          <w:p>
            <w:pPr>
              <w:pStyle w:val="null3"/>
            </w:pPr>
            <w:r>
              <w:rPr>
                <w:rFonts w:ascii="仿宋_GB2312" w:hAnsi="仿宋_GB2312" w:cs="仿宋_GB2312" w:eastAsia="仿宋_GB2312"/>
              </w:rPr>
              <w:t>承办单位：西安市人才服务中心</w:t>
            </w:r>
          </w:p>
          <w:p>
            <w:pPr>
              <w:pStyle w:val="null3"/>
            </w:pPr>
            <w:r>
              <w:rPr>
                <w:rFonts w:ascii="仿宋_GB2312" w:hAnsi="仿宋_GB2312" w:cs="仿宋_GB2312" w:eastAsia="仿宋_GB2312"/>
              </w:rPr>
              <w:t>西安毕业生就业市场</w:t>
            </w:r>
          </w:p>
          <w:p>
            <w:pPr>
              <w:pStyle w:val="null3"/>
            </w:pPr>
            <w:r>
              <w:rPr>
                <w:rFonts w:ascii="仿宋_GB2312" w:hAnsi="仿宋_GB2312" w:cs="仿宋_GB2312" w:eastAsia="仿宋_GB2312"/>
              </w:rPr>
              <w:t>协办单位：西安市各区县、西咸新区、各开发区人社部门</w:t>
            </w:r>
          </w:p>
          <w:p>
            <w:pPr>
              <w:pStyle w:val="null3"/>
            </w:pPr>
            <w:r>
              <w:rPr>
                <w:rFonts w:ascii="仿宋_GB2312" w:hAnsi="仿宋_GB2312" w:cs="仿宋_GB2312" w:eastAsia="仿宋_GB2312"/>
              </w:rPr>
              <w:t>西安市相关高校就业中心</w:t>
            </w:r>
          </w:p>
          <w:p>
            <w:pPr>
              <w:pStyle w:val="null3"/>
            </w:pPr>
            <w:r>
              <w:rPr>
                <w:rFonts w:ascii="仿宋_GB2312" w:hAnsi="仿宋_GB2312" w:cs="仿宋_GB2312" w:eastAsia="仿宋_GB2312"/>
              </w:rPr>
              <w:t>三、服务对象</w:t>
            </w:r>
          </w:p>
          <w:p>
            <w:pPr>
              <w:pStyle w:val="null3"/>
            </w:pPr>
            <w:r>
              <w:rPr>
                <w:rFonts w:ascii="仿宋_GB2312" w:hAnsi="仿宋_GB2312" w:cs="仿宋_GB2312" w:eastAsia="仿宋_GB2312"/>
              </w:rPr>
              <w:t>（一）2026届高校毕业生及往届离校未就业高校毕业生。</w:t>
            </w:r>
          </w:p>
          <w:p>
            <w:pPr>
              <w:pStyle w:val="null3"/>
            </w:pPr>
            <w:r>
              <w:rPr>
                <w:rFonts w:ascii="仿宋_GB2312" w:hAnsi="仿宋_GB2312" w:cs="仿宋_GB2312" w:eastAsia="仿宋_GB2312"/>
              </w:rPr>
              <w:t>（二）有招聘需求的各类用人单位。</w:t>
            </w:r>
          </w:p>
          <w:p>
            <w:pPr>
              <w:pStyle w:val="null3"/>
            </w:pPr>
            <w:r>
              <w:rPr>
                <w:rFonts w:ascii="仿宋_GB2312" w:hAnsi="仿宋_GB2312" w:cs="仿宋_GB2312" w:eastAsia="仿宋_GB2312"/>
              </w:rPr>
              <w:t>四、活动安排</w:t>
            </w:r>
          </w:p>
          <w:p>
            <w:pPr>
              <w:pStyle w:val="null3"/>
            </w:pPr>
            <w:r>
              <w:rPr>
                <w:rFonts w:ascii="仿宋_GB2312" w:hAnsi="仿宋_GB2312" w:cs="仿宋_GB2312" w:eastAsia="仿宋_GB2312"/>
              </w:rPr>
              <w:t>（一）2026年全国城市巡回招聘西安站活动（6场）</w:t>
            </w:r>
          </w:p>
          <w:p>
            <w:pPr>
              <w:pStyle w:val="null3"/>
            </w:pPr>
            <w:r>
              <w:rPr>
                <w:rFonts w:ascii="仿宋_GB2312" w:hAnsi="仿宋_GB2312" w:cs="仿宋_GB2312" w:eastAsia="仿宋_GB2312"/>
              </w:rPr>
              <w:t>全年举办春秋两季核心活动，均采用“现场招聘会+网络招聘会+直播带岗”三维模式，依托“政校企”联动平台，构建“3核引领+N维延伸”服务矩阵，全面落实“招聘引才、政策护航、就业赋能、培养提质”四级赋能体系，实现精准对接、全景服务与长效育人的有机统一。</w:t>
            </w:r>
          </w:p>
          <w:p>
            <w:pPr>
              <w:pStyle w:val="null3"/>
            </w:pPr>
            <w:r>
              <w:rPr>
                <w:rFonts w:ascii="仿宋_GB2312" w:hAnsi="仿宋_GB2312" w:cs="仿宋_GB2312" w:eastAsia="仿宋_GB2312"/>
              </w:rPr>
              <w:t>1.春季巡回招聘活动（3场）</w:t>
            </w:r>
          </w:p>
          <w:p>
            <w:pPr>
              <w:pStyle w:val="null3"/>
            </w:pPr>
            <w:r>
              <w:rPr>
                <w:rFonts w:ascii="仿宋_GB2312" w:hAnsi="仿宋_GB2312" w:cs="仿宋_GB2312" w:eastAsia="仿宋_GB2312"/>
              </w:rPr>
              <w:t>活动时间：4月10日</w:t>
            </w:r>
          </w:p>
          <w:p>
            <w:pPr>
              <w:pStyle w:val="null3"/>
            </w:pPr>
            <w:r>
              <w:rPr>
                <w:rFonts w:ascii="仿宋_GB2312" w:hAnsi="仿宋_GB2312" w:cs="仿宋_GB2312" w:eastAsia="仿宋_GB2312"/>
              </w:rPr>
              <w:t>活动地点：西安邮电大学长安校区</w:t>
            </w:r>
          </w:p>
          <w:p>
            <w:pPr>
              <w:pStyle w:val="null3"/>
            </w:pPr>
            <w:r>
              <w:rPr>
                <w:rFonts w:ascii="仿宋_GB2312" w:hAnsi="仿宋_GB2312" w:cs="仿宋_GB2312" w:eastAsia="仿宋_GB2312"/>
              </w:rPr>
              <w:t>2.秋季巡回招聘活动（3场）</w:t>
            </w:r>
          </w:p>
          <w:p>
            <w:pPr>
              <w:pStyle w:val="null3"/>
            </w:pPr>
            <w:r>
              <w:rPr>
                <w:rFonts w:ascii="仿宋_GB2312" w:hAnsi="仿宋_GB2312" w:cs="仿宋_GB2312" w:eastAsia="仿宋_GB2312"/>
              </w:rPr>
              <w:t>活动时间：计划9月-10月</w:t>
            </w:r>
          </w:p>
          <w:p>
            <w:pPr>
              <w:pStyle w:val="null3"/>
            </w:pPr>
            <w:r>
              <w:rPr>
                <w:rFonts w:ascii="仿宋_GB2312" w:hAnsi="仿宋_GB2312" w:cs="仿宋_GB2312" w:eastAsia="仿宋_GB2312"/>
              </w:rPr>
              <w:t>活动地点：西安邮电大学（暂定）</w:t>
            </w:r>
          </w:p>
          <w:p>
            <w:pPr>
              <w:pStyle w:val="null3"/>
            </w:pPr>
            <w:r>
              <w:rPr>
                <w:rFonts w:ascii="仿宋_GB2312" w:hAnsi="仿宋_GB2312" w:cs="仿宋_GB2312" w:eastAsia="仿宋_GB2312"/>
              </w:rPr>
              <w:t>3.核心活动内容</w:t>
            </w:r>
          </w:p>
          <w:p>
            <w:pPr>
              <w:pStyle w:val="null3"/>
            </w:pPr>
            <w:r>
              <w:rPr>
                <w:rFonts w:ascii="仿宋_GB2312" w:hAnsi="仿宋_GB2312" w:cs="仿宋_GB2312" w:eastAsia="仿宋_GB2312"/>
              </w:rPr>
              <w:t>（1）就业服务交流活动（春季）：</w:t>
            </w:r>
          </w:p>
          <w:p>
            <w:pPr>
              <w:pStyle w:val="null3"/>
            </w:pPr>
            <w:r>
              <w:rPr>
                <w:rFonts w:ascii="仿宋_GB2312" w:hAnsi="仿宋_GB2312" w:cs="仿宋_GB2312" w:eastAsia="仿宋_GB2312"/>
              </w:rPr>
              <w:t>邀请省、市各级人社部门主要领导、相关区县领导、高校领导及重点企业代表出席参加，并交流分享。</w:t>
            </w:r>
          </w:p>
          <w:p>
            <w:pPr>
              <w:pStyle w:val="null3"/>
            </w:pPr>
            <w:r>
              <w:rPr>
                <w:rFonts w:ascii="仿宋_GB2312" w:hAnsi="仿宋_GB2312" w:cs="仿宋_GB2312" w:eastAsia="仿宋_GB2312"/>
              </w:rPr>
              <w:t>（2）“3核引领”招聘板块：</w:t>
            </w:r>
          </w:p>
          <w:p>
            <w:pPr>
              <w:pStyle w:val="null3"/>
            </w:pPr>
            <w:r>
              <w:rPr>
                <w:rFonts w:ascii="仿宋_GB2312" w:hAnsi="仿宋_GB2312" w:cs="仿宋_GB2312" w:eastAsia="仿宋_GB2312"/>
              </w:rPr>
              <w:t>现场综合招聘会：每场定向邀请省内外500余家优质企业参与，设置多个特色招聘专区，为高校毕业生求职择业与用人单位引才纳贤搭建精准对接平台。具体包括：</w:t>
            </w:r>
          </w:p>
          <w:p>
            <w:pPr>
              <w:pStyle w:val="null3"/>
            </w:pPr>
            <w:r>
              <w:rPr>
                <w:rFonts w:ascii="仿宋_GB2312" w:hAnsi="仿宋_GB2312" w:cs="仿宋_GB2312" w:eastAsia="仿宋_GB2312"/>
              </w:rPr>
              <w:t>新质生产力核心领域专区：聚焦人工智能、数字经济、量子信息、生物技术、空天科技、绿色低碳等新质生产力核心赛道企业，邀约行业领军企业与创新型企业参与，提供前沿领域高质量岗位。</w:t>
            </w:r>
          </w:p>
          <w:p>
            <w:pPr>
              <w:pStyle w:val="null3"/>
            </w:pPr>
            <w:r>
              <w:rPr>
                <w:rFonts w:ascii="仿宋_GB2312" w:hAnsi="仿宋_GB2312" w:cs="仿宋_GB2312" w:eastAsia="仿宋_GB2312"/>
              </w:rPr>
              <w:t>城市协作产业联动专区：邀约京津冀、长三角等地区重点企业组团参会，发布跨区域就业岗位，促进区域人才交流与产业协同发展。</w:t>
            </w:r>
          </w:p>
          <w:p>
            <w:pPr>
              <w:pStyle w:val="null3"/>
            </w:pPr>
            <w:r>
              <w:rPr>
                <w:rFonts w:ascii="仿宋_GB2312" w:hAnsi="仿宋_GB2312" w:cs="仿宋_GB2312" w:eastAsia="仿宋_GB2312"/>
              </w:rPr>
              <w:t>西安都市圈重点企业专区：汇集西安、咸阳、渭南、商洛、富平、阎良等西安都市圈核心城市重点企业，搭建区域就业联动桥梁，助力都市圈人才一体化建设。</w:t>
            </w:r>
          </w:p>
          <w:p>
            <w:pPr>
              <w:pStyle w:val="null3"/>
            </w:pPr>
            <w:r>
              <w:rPr>
                <w:rFonts w:ascii="仿宋_GB2312" w:hAnsi="仿宋_GB2312" w:cs="仿宋_GB2312" w:eastAsia="仿宋_GB2312"/>
              </w:rPr>
              <w:t>新业态新就业融合发展专区：涵盖现代服务业、银发经济、新媒体运营、新零售销售、直播电商、灵活就业服务等新兴业态企业，集聚多样化新就业形岗位，满足不同求职者就业需求。</w:t>
            </w:r>
          </w:p>
          <w:p>
            <w:pPr>
              <w:pStyle w:val="null3"/>
            </w:pPr>
            <w:r>
              <w:rPr>
                <w:rFonts w:ascii="仿宋_GB2312" w:hAnsi="仿宋_GB2312" w:cs="仿宋_GB2312" w:eastAsia="仿宋_GB2312"/>
              </w:rPr>
              <w:t>网络招聘活动：同步启动线上网络招聘活动，活动周期持续7天。依托西安市公共招聘网搭建专题招聘页面，集成岗位发布、简历一键投递、人岗智能匹配等功能，打破时空限制，实现“云端”精准对接。</w:t>
            </w:r>
          </w:p>
          <w:p>
            <w:pPr>
              <w:pStyle w:val="null3"/>
            </w:pPr>
            <w:r>
              <w:rPr>
                <w:rFonts w:ascii="仿宋_GB2312" w:hAnsi="仿宋_GB2312" w:cs="仿宋_GB2312" w:eastAsia="仿宋_GB2312"/>
              </w:rPr>
              <w:t>直播带岗活动：创新设置“直播带岗+园区探企”双线活动形式，邀请重点企业人力资源负责人走进直播间、深入园区现场，全面解读岗位需求、详细宣讲企业文化与发展前景，并实时回应线上线下求职者的咨询，助力求职者精准匹配心仪岗位。</w:t>
            </w:r>
          </w:p>
          <w:p>
            <w:pPr>
              <w:pStyle w:val="null3"/>
            </w:pPr>
            <w:r>
              <w:rPr>
                <w:rFonts w:ascii="仿宋_GB2312" w:hAnsi="仿宋_GB2312" w:cs="仿宋_GB2312" w:eastAsia="仿宋_GB2312"/>
              </w:rPr>
              <w:t>（3）“N维延伸”服务专区：</w:t>
            </w:r>
          </w:p>
          <w:p>
            <w:pPr>
              <w:pStyle w:val="null3"/>
            </w:pPr>
            <w:r>
              <w:rPr>
                <w:rFonts w:ascii="仿宋_GB2312" w:hAnsi="仿宋_GB2312" w:cs="仿宋_GB2312" w:eastAsia="仿宋_GB2312"/>
              </w:rPr>
              <w:t>聚焦求职者全流程求职需求与企业招聘配套服务，整合多方资源打造一站式、多元化服务阵地，计划设置以下服务专区：</w:t>
            </w:r>
          </w:p>
          <w:p>
            <w:pPr>
              <w:pStyle w:val="null3"/>
            </w:pPr>
            <w:r>
              <w:rPr>
                <w:rFonts w:ascii="仿宋_GB2312" w:hAnsi="仿宋_GB2312" w:cs="仿宋_GB2312" w:eastAsia="仿宋_GB2312"/>
              </w:rPr>
              <w:t>政策咨询区：整合人社、税务等部门资源，设置政策展板及宣传册取阅点，集中展示就业创业、档案管理、劳动权益保护、税费减免等相关政策。安排各部门业务骨干现场驻点，为高校毕业生及参会企业一对一解答政策申请条件、办理流程、补贴标准等疑问，助力政策红利精准直达服务对象。</w:t>
            </w:r>
          </w:p>
          <w:p>
            <w:pPr>
              <w:pStyle w:val="null3"/>
            </w:pPr>
            <w:r>
              <w:rPr>
                <w:rFonts w:ascii="仿宋_GB2312" w:hAnsi="仿宋_GB2312" w:cs="仿宋_GB2312" w:eastAsia="仿宋_GB2312"/>
              </w:rPr>
              <w:t>就业指导专区：组建由就业指导师、资深人力资源师、重点企业HR组成的专业指导团队，提供“一对一”职业咨询和就业指导服务，服务内容涵盖职业兴趣测评、职业发展规划、简历优化技巧、面试礼仪与应答策略等，帮助求职者明晰求职方向、提升应聘竞争力。</w:t>
            </w:r>
          </w:p>
          <w:p>
            <w:pPr>
              <w:pStyle w:val="null3"/>
            </w:pPr>
            <w:r>
              <w:rPr>
                <w:rFonts w:ascii="仿宋_GB2312" w:hAnsi="仿宋_GB2312" w:cs="仿宋_GB2312" w:eastAsia="仿宋_GB2312"/>
              </w:rPr>
              <w:t>职业技能赋能服务区：现场循环播放AI基础应用、短视频剪辑、电商运营、工业软件基础操作等免费技能微课片段（时长控制在5-10分钟），求职者扫码即可获取完整课程资源包，助力其利用碎片化时间提升岗位适配能力。</w:t>
            </w:r>
          </w:p>
          <w:p>
            <w:pPr>
              <w:pStyle w:val="null3"/>
            </w:pPr>
            <w:r>
              <w:rPr>
                <w:rFonts w:ascii="仿宋_GB2312" w:hAnsi="仿宋_GB2312" w:cs="仿宋_GB2312" w:eastAsia="仿宋_GB2312"/>
              </w:rPr>
              <w:t>智能数字化专区：引入数字化服务设备提升求职招聘效率，配备AI简历分析仪，依托大数据实现人岗精准匹配，为求职者推荐适配岗位；开设VR企业展区，让求职者沉浸式了解企业工作环境；设置数字就业服务终端，实现政策查询、岗位投递等“一键办理”。</w:t>
            </w:r>
          </w:p>
          <w:p>
            <w:pPr>
              <w:pStyle w:val="null3"/>
            </w:pPr>
            <w:r>
              <w:rPr>
                <w:rFonts w:ascii="仿宋_GB2312" w:hAnsi="仿宋_GB2312" w:cs="仿宋_GB2312" w:eastAsia="仿宋_GB2312"/>
              </w:rPr>
              <w:t>新兴产业主题专区：求职者可现场留言提问，内容涵盖低空经济、新能源等领域的岗位要求、入职门槛、职业发展路径等，安排企业嘉宾现场回应，实现求职疑问精准解惑。</w:t>
            </w:r>
          </w:p>
          <w:p>
            <w:pPr>
              <w:pStyle w:val="null3"/>
            </w:pPr>
            <w:r>
              <w:rPr>
                <w:rFonts w:ascii="仿宋_GB2312" w:hAnsi="仿宋_GB2312" w:cs="仿宋_GB2312" w:eastAsia="仿宋_GB2312"/>
              </w:rPr>
              <w:t>创意互动游戏区：打造轻松休闲的互动空间，播放舒缓背景音乐，缓解求职者求职紧张情绪，同步开展两大趣味活动：</w:t>
            </w:r>
          </w:p>
          <w:p>
            <w:pPr>
              <w:pStyle w:val="null3"/>
            </w:pPr>
            <w:r>
              <w:rPr>
                <w:rFonts w:ascii="仿宋_GB2312" w:hAnsi="仿宋_GB2312" w:cs="仿宋_GB2312" w:eastAsia="仿宋_GB2312"/>
              </w:rPr>
              <w:t>①求职锦鲤大派送：参与者在终端完成简历上传和岗位投递后，可参与线上抽奖，奖品设置为“简历优化一对一指导”“企业HR直通面试”等实用权益，提升“一键投递”的使用率。</w:t>
            </w:r>
          </w:p>
          <w:p>
            <w:pPr>
              <w:pStyle w:val="null3"/>
            </w:pPr>
            <w:r>
              <w:rPr>
                <w:rFonts w:ascii="仿宋_GB2312" w:hAnsi="仿宋_GB2312" w:cs="仿宋_GB2312" w:eastAsia="仿宋_GB2312"/>
              </w:rPr>
              <w:t>②职场情景闯关赛：设置“简历初筛”“模拟面试”“政策问答”三个闯关环节，参与者抽取职场情景卡片完成对应任务（如快速优化简历亮点、应答面试常见问题、回答就业政策常识），通关可兑换“职业指导体验券”或求职小礼品，帮助毕业生提前熟悉求职流程。</w:t>
            </w:r>
          </w:p>
          <w:p>
            <w:pPr>
              <w:pStyle w:val="null3"/>
            </w:pPr>
            <w:r>
              <w:rPr>
                <w:rFonts w:ascii="仿宋_GB2312" w:hAnsi="仿宋_GB2312" w:cs="仿宋_GB2312" w:eastAsia="仿宋_GB2312"/>
              </w:rPr>
              <w:t>综合服务专区：提供现场引导、免费简历打印、行李寄存、应急医疗保障、失物招领等基础后勤服务，安排专人现场值守，确保招聘活动平稳有序运行，为求职者和企业营造舒心便捷的参与环境。</w:t>
            </w:r>
          </w:p>
          <w:p>
            <w:pPr>
              <w:pStyle w:val="null3"/>
            </w:pPr>
            <w:r>
              <w:rPr>
                <w:rFonts w:ascii="仿宋_GB2312" w:hAnsi="仿宋_GB2312" w:cs="仿宋_GB2312" w:eastAsia="仿宋_GB2312"/>
              </w:rPr>
              <w:t>五、工作措施</w:t>
            </w:r>
          </w:p>
          <w:p>
            <w:pPr>
              <w:pStyle w:val="null3"/>
            </w:pPr>
            <w:r>
              <w:rPr>
                <w:rFonts w:ascii="仿宋_GB2312" w:hAnsi="仿宋_GB2312" w:cs="仿宋_GB2312" w:eastAsia="仿宋_GB2312"/>
              </w:rPr>
              <w:t>（一）前期筹备。明确招聘会主题、时间、地点，筛选优质企业并邀约民营企业参与，完成场地功能分区（招聘区、咨询区、会务区）及物资筹备，保障活动顺利开展。</w:t>
            </w:r>
          </w:p>
          <w:p>
            <w:pPr>
              <w:pStyle w:val="null3"/>
            </w:pPr>
            <w:r>
              <w:rPr>
                <w:rFonts w:ascii="仿宋_GB2312" w:hAnsi="仿宋_GB2312" w:cs="仿宋_GB2312" w:eastAsia="仿宋_GB2312"/>
              </w:rPr>
              <w:t>（二）活动宣传。邀约省市媒体全程跟踪报道全国城市联合招聘高校毕业生春季、秋季专场活动，提前3-5天通过微信公众号、公招网、就业群等平台发布宣传内容与倒计时，提醒并定向推送至目标人群，活动后发布成效报道。</w:t>
            </w:r>
          </w:p>
          <w:p>
            <w:pPr>
              <w:pStyle w:val="null3"/>
            </w:pPr>
            <w:r>
              <w:rPr>
                <w:rFonts w:ascii="仿宋_GB2312" w:hAnsi="仿宋_GB2312" w:cs="仿宋_GB2312" w:eastAsia="仿宋_GB2312"/>
              </w:rPr>
              <w:t>（三）后续跟进。收集用人单位和求职者反馈意见和招聘活动相关数据，评估招聘活动效果，为企业和求职者搭建沟通桥梁，协助双方跟进招聘结果，为后续活动积累经验。</w:t>
            </w:r>
          </w:p>
          <w:tbl>
            <w:tblPr>
              <w:tblBorders>
                <w:top w:val="single"/>
                <w:left w:val="single"/>
                <w:bottom w:val="single"/>
                <w:right w:val="single"/>
                <w:insideH w:val="single"/>
                <w:insideV w:val="single"/>
              </w:tblBorders>
            </w:tblPr>
            <w:tblGrid>
              <w:gridCol w:w="319"/>
              <w:gridCol w:w="319"/>
              <w:gridCol w:w="319"/>
              <w:gridCol w:w="319"/>
              <w:gridCol w:w="319"/>
              <w:gridCol w:w="319"/>
              <w:gridCol w:w="319"/>
              <w:gridCol w:w="319"/>
            </w:tblGrid>
            <w:tr>
              <w:tc>
                <w:tcPr>
                  <w:tcW w:type="dxa" w:w="638"/>
                  <w:gridSpan w:val="2"/>
                </w:tcPr>
                <w:p>
                  <w:pPr>
                    <w:pStyle w:val="null3"/>
                  </w:pPr>
                  <w:r>
                    <w:rPr>
                      <w:rFonts w:ascii="仿宋_GB2312" w:hAnsi="仿宋_GB2312" w:cs="仿宋_GB2312" w:eastAsia="仿宋_GB2312"/>
                    </w:rPr>
                    <w:t>活动名称</w:t>
                  </w:r>
                </w:p>
              </w:tc>
              <w:tc>
                <w:tcPr>
                  <w:tcW w:type="dxa" w:w="319"/>
                </w:tcPr>
                <w:p>
                  <w:pPr>
                    <w:pStyle w:val="null3"/>
                  </w:pPr>
                  <w:r>
                    <w:rPr>
                      <w:rFonts w:ascii="仿宋_GB2312" w:hAnsi="仿宋_GB2312" w:cs="仿宋_GB2312" w:eastAsia="仿宋_GB2312"/>
                    </w:rPr>
                    <w:t>项目</w:t>
                  </w:r>
                </w:p>
              </w:tc>
              <w:tc>
                <w:tcPr>
                  <w:tcW w:type="dxa" w:w="638"/>
                  <w:gridSpan w:val="2"/>
                </w:tcPr>
                <w:p>
                  <w:pPr>
                    <w:pStyle w:val="null3"/>
                  </w:pPr>
                  <w:r>
                    <w:rPr>
                      <w:rFonts w:ascii="仿宋_GB2312" w:hAnsi="仿宋_GB2312" w:cs="仿宋_GB2312" w:eastAsia="仿宋_GB2312"/>
                    </w:rPr>
                    <w:t>规格</w:t>
                  </w:r>
                </w:p>
              </w:tc>
              <w:tc>
                <w:tcPr>
                  <w:tcW w:type="dxa" w:w="319"/>
                </w:tcPr>
                <w:p>
                  <w:pPr>
                    <w:pStyle w:val="null3"/>
                  </w:pPr>
                  <w:r>
                    <w:rPr>
                      <w:rFonts w:ascii="仿宋_GB2312" w:hAnsi="仿宋_GB2312" w:cs="仿宋_GB2312" w:eastAsia="仿宋_GB2312"/>
                    </w:rPr>
                    <w:t>数量</w:t>
                  </w:r>
                </w:p>
              </w:tc>
              <w:tc>
                <w:tcPr>
                  <w:tcW w:type="dxa" w:w="319"/>
                </w:tcPr>
                <w:p>
                  <w:pPr>
                    <w:pStyle w:val="null3"/>
                  </w:pPr>
                  <w:r>
                    <w:rPr>
                      <w:rFonts w:ascii="仿宋_GB2312" w:hAnsi="仿宋_GB2312" w:cs="仿宋_GB2312" w:eastAsia="仿宋_GB2312"/>
                    </w:rPr>
                    <w:t>单位</w:t>
                  </w:r>
                </w:p>
              </w:tc>
              <w:tc>
                <w:tcPr>
                  <w:tcW w:type="dxa" w:w="319"/>
                </w:tcPr>
                <w:p>
                  <w:pPr>
                    <w:pStyle w:val="null3"/>
                  </w:pPr>
                  <w:r>
                    <w:rPr>
                      <w:rFonts w:ascii="仿宋_GB2312" w:hAnsi="仿宋_GB2312" w:cs="仿宋_GB2312" w:eastAsia="仿宋_GB2312"/>
                    </w:rPr>
                    <w:t>周期/场</w:t>
                  </w:r>
                </w:p>
              </w:tc>
            </w:tr>
            <w:tr>
              <w:tc>
                <w:tcPr>
                  <w:tcW w:type="dxa" w:w="319"/>
                  <w:vMerge w:val="restart"/>
                </w:tcPr>
                <w:p>
                  <w:pPr>
                    <w:pStyle w:val="null3"/>
                  </w:pPr>
                  <w:r>
                    <w:rPr>
                      <w:rFonts w:ascii="仿宋_GB2312" w:hAnsi="仿宋_GB2312" w:cs="仿宋_GB2312" w:eastAsia="仿宋_GB2312"/>
                    </w:rPr>
                    <w:t>职引未来—2026年全国城市联合招聘高校毕业生春季、秋季专场活动</w:t>
                  </w:r>
                </w:p>
              </w:tc>
              <w:tc>
                <w:tcPr>
                  <w:tcW w:type="dxa" w:w="319"/>
                  <w:vMerge w:val="restart"/>
                </w:tcPr>
                <w:p>
                  <w:pPr>
                    <w:pStyle w:val="null3"/>
                  </w:pPr>
                  <w:r>
                    <w:rPr>
                      <w:rFonts w:ascii="仿宋_GB2312" w:hAnsi="仿宋_GB2312" w:cs="仿宋_GB2312" w:eastAsia="仿宋_GB2312"/>
                    </w:rPr>
                    <w:t>就业服务交流活动</w:t>
                  </w:r>
                </w:p>
              </w:tc>
              <w:tc>
                <w:tcPr>
                  <w:tcW w:type="dxa" w:w="319"/>
                </w:tcPr>
                <w:p>
                  <w:pPr>
                    <w:pStyle w:val="null3"/>
                  </w:pPr>
                  <w:r>
                    <w:rPr>
                      <w:rFonts w:ascii="仿宋_GB2312" w:hAnsi="仿宋_GB2312" w:cs="仿宋_GB2312" w:eastAsia="仿宋_GB2312"/>
                    </w:rPr>
                    <w:t>活动主K及其他物料设计</w:t>
                  </w:r>
                </w:p>
              </w:tc>
              <w:tc>
                <w:tcPr>
                  <w:tcW w:type="dxa" w:w="638"/>
                  <w:gridSpan w:val="2"/>
                </w:tcPr>
                <w:p>
                  <w:pPr>
                    <w:pStyle w:val="null3"/>
                  </w:pPr>
                  <w:r>
                    <w:rPr>
                      <w:rFonts w:ascii="仿宋_GB2312" w:hAnsi="仿宋_GB2312" w:cs="仿宋_GB2312" w:eastAsia="仿宋_GB2312"/>
                    </w:rPr>
                    <w:t>含就业服务交流活动、春秋季招聘主视觉设计、宣传、桁架、展架、企业简章及门楣、横幅、直播带岗、PPT等</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主视觉桁架</w:t>
                  </w:r>
                </w:p>
              </w:tc>
              <w:tc>
                <w:tcPr>
                  <w:tcW w:type="dxa" w:w="638"/>
                  <w:gridSpan w:val="2"/>
                </w:tcPr>
                <w:p>
                  <w:pPr>
                    <w:pStyle w:val="null3"/>
                  </w:pPr>
                  <w:r>
                    <w:rPr>
                      <w:rFonts w:ascii="仿宋_GB2312" w:hAnsi="仿宋_GB2312" w:cs="仿宋_GB2312" w:eastAsia="仿宋_GB2312"/>
                    </w:rPr>
                    <w:t>桁架+遮光布喷绘8*4*2m,内置配重</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主席台搭建</w:t>
                  </w:r>
                </w:p>
              </w:tc>
              <w:tc>
                <w:tcPr>
                  <w:tcW w:type="dxa" w:w="638"/>
                  <w:gridSpan w:val="2"/>
                </w:tcPr>
                <w:p>
                  <w:pPr>
                    <w:pStyle w:val="null3"/>
                  </w:pPr>
                  <w:r>
                    <w:rPr>
                      <w:rFonts w:ascii="仿宋_GB2312" w:hAnsi="仿宋_GB2312" w:cs="仿宋_GB2312" w:eastAsia="仿宋_GB2312"/>
                    </w:rPr>
                    <w:t>10*5*0.6mH铝合金舞台；10*4灰色拉绒地毯*72；0.6mH舞台踏步</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启动</w:t>
                  </w:r>
                </w:p>
                <w:p>
                  <w:pPr>
                    <w:pStyle w:val="null3"/>
                  </w:pPr>
                  <w:r>
                    <w:rPr>
                      <w:rFonts w:ascii="仿宋_GB2312" w:hAnsi="仿宋_GB2312" w:cs="仿宋_GB2312" w:eastAsia="仿宋_GB2312"/>
                    </w:rPr>
                    <w:t>装置</w:t>
                  </w:r>
                </w:p>
              </w:tc>
              <w:tc>
                <w:tcPr>
                  <w:tcW w:type="dxa" w:w="638"/>
                  <w:gridSpan w:val="2"/>
                </w:tcPr>
                <w:p>
                  <w:pPr>
                    <w:pStyle w:val="null3"/>
                  </w:pPr>
                  <w:r>
                    <w:rPr>
                      <w:rFonts w:ascii="仿宋_GB2312" w:hAnsi="仿宋_GB2312" w:cs="仿宋_GB2312" w:eastAsia="仿宋_GB2312"/>
                    </w:rPr>
                    <w:t>参照冰屏 4m</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音响、调音台</w:t>
                  </w:r>
                </w:p>
              </w:tc>
              <w:tc>
                <w:tcPr>
                  <w:tcW w:type="dxa" w:w="638"/>
                  <w:gridSpan w:val="2"/>
                </w:tcPr>
                <w:p>
                  <w:pPr>
                    <w:pStyle w:val="null3"/>
                  </w:pPr>
                  <w:r>
                    <w:rPr>
                      <w:rFonts w:ascii="仿宋_GB2312" w:hAnsi="仿宋_GB2312" w:cs="仿宋_GB2312" w:eastAsia="仿宋_GB2312"/>
                    </w:rPr>
                    <w:t>主扩线列阵8只、全频音箱4只，返送音箱4只，低频音箱4只、反听4只、手持麦3只、鹅颈麦2只，信号放大器，分配放大器，含MIDAS  M32数字调音台（含舞台、音响控台专业人员各1名）</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套</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桌牌</w:t>
                  </w:r>
                </w:p>
              </w:tc>
              <w:tc>
                <w:tcPr>
                  <w:tcW w:type="dxa" w:w="638"/>
                  <w:gridSpan w:val="2"/>
                </w:tcPr>
                <w:p>
                  <w:pPr>
                    <w:pStyle w:val="null3"/>
                  </w:pPr>
                  <w:r>
                    <w:rPr>
                      <w:rFonts w:ascii="仿宋_GB2312" w:hAnsi="仿宋_GB2312" w:cs="仿宋_GB2312" w:eastAsia="仿宋_GB2312"/>
                    </w:rPr>
                    <w:t>KT版A3三折覆膜高清</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椅背签</w:t>
                  </w:r>
                </w:p>
              </w:tc>
              <w:tc>
                <w:tcPr>
                  <w:tcW w:type="dxa" w:w="638"/>
                  <w:gridSpan w:val="2"/>
                </w:tcPr>
                <w:p>
                  <w:pPr>
                    <w:pStyle w:val="null3"/>
                  </w:pPr>
                  <w:r>
                    <w:rPr>
                      <w:rFonts w:ascii="仿宋_GB2312" w:hAnsi="仿宋_GB2312" w:cs="仿宋_GB2312" w:eastAsia="仿宋_GB2312"/>
                    </w:rPr>
                    <w:t>不干胶彩打（0.15*0.1m）</w:t>
                  </w:r>
                </w:p>
              </w:tc>
              <w:tc>
                <w:tcPr>
                  <w:tcW w:type="dxa" w:w="319"/>
                </w:tcPr>
                <w:p>
                  <w:pPr>
                    <w:pStyle w:val="null3"/>
                  </w:pPr>
                  <w:r>
                    <w:rPr>
                      <w:rFonts w:ascii="仿宋_GB2312" w:hAnsi="仿宋_GB2312" w:cs="仿宋_GB2312" w:eastAsia="仿宋_GB2312"/>
                    </w:rPr>
                    <w:t>40</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演讲台</w:t>
                  </w:r>
                </w:p>
              </w:tc>
              <w:tc>
                <w:tcPr>
                  <w:tcW w:type="dxa" w:w="638"/>
                  <w:gridSpan w:val="2"/>
                </w:tcPr>
                <w:p>
                  <w:pPr>
                    <w:pStyle w:val="null3"/>
                  </w:pPr>
                  <w:r>
                    <w:rPr>
                      <w:rFonts w:ascii="仿宋_GB2312" w:hAnsi="仿宋_GB2312" w:cs="仿宋_GB2312" w:eastAsia="仿宋_GB2312"/>
                    </w:rPr>
                    <w:t>三面KT板整体内开槽包装（含演讲台租赁）</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线槽</w:t>
                  </w:r>
                </w:p>
              </w:tc>
              <w:tc>
                <w:tcPr>
                  <w:tcW w:type="dxa" w:w="638"/>
                  <w:gridSpan w:val="2"/>
                </w:tcPr>
                <w:p>
                  <w:pPr>
                    <w:pStyle w:val="null3"/>
                  </w:pPr>
                  <w:r>
                    <w:rPr>
                      <w:rFonts w:ascii="仿宋_GB2312" w:hAnsi="仿宋_GB2312" w:cs="仿宋_GB2312" w:eastAsia="仿宋_GB2312"/>
                    </w:rPr>
                    <w:t>户外线槽10米（含租赁）</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桌椅</w:t>
                  </w:r>
                </w:p>
                <w:p>
                  <w:pPr>
                    <w:pStyle w:val="null3"/>
                  </w:pPr>
                  <w:r>
                    <w:rPr>
                      <w:rFonts w:ascii="仿宋_GB2312" w:hAnsi="仿宋_GB2312" w:cs="仿宋_GB2312" w:eastAsia="仿宋_GB2312"/>
                    </w:rPr>
                    <w:t>租赁</w:t>
                  </w:r>
                </w:p>
              </w:tc>
              <w:tc>
                <w:tcPr>
                  <w:tcW w:type="dxa" w:w="638"/>
                  <w:gridSpan w:val="2"/>
                </w:tcPr>
                <w:p>
                  <w:pPr>
                    <w:pStyle w:val="null3"/>
                  </w:pPr>
                  <w:r>
                    <w:rPr>
                      <w:rFonts w:ascii="仿宋_GB2312" w:hAnsi="仿宋_GB2312" w:cs="仿宋_GB2312" w:eastAsia="仿宋_GB2312"/>
                    </w:rPr>
                    <w:t>一桌两椅（签到处+坐席）含桌布</w:t>
                  </w:r>
                </w:p>
              </w:tc>
              <w:tc>
                <w:tcPr>
                  <w:tcW w:type="dxa" w:w="319"/>
                </w:tcPr>
                <w:p>
                  <w:pPr>
                    <w:pStyle w:val="null3"/>
                  </w:pPr>
                  <w:r>
                    <w:rPr>
                      <w:rFonts w:ascii="仿宋_GB2312" w:hAnsi="仿宋_GB2312" w:cs="仿宋_GB2312" w:eastAsia="仿宋_GB2312"/>
                    </w:rPr>
                    <w:t>50</w:t>
                  </w:r>
                </w:p>
              </w:tc>
              <w:tc>
                <w:tcPr>
                  <w:tcW w:type="dxa" w:w="319"/>
                </w:tcPr>
                <w:p>
                  <w:pPr>
                    <w:pStyle w:val="null3"/>
                  </w:pPr>
                  <w:r>
                    <w:rPr>
                      <w:rFonts w:ascii="仿宋_GB2312" w:hAnsi="仿宋_GB2312" w:cs="仿宋_GB2312" w:eastAsia="仿宋_GB2312"/>
                    </w:rPr>
                    <w:t>套</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x型</w:t>
                  </w:r>
                </w:p>
                <w:p>
                  <w:pPr>
                    <w:pStyle w:val="null3"/>
                  </w:pPr>
                  <w:r>
                    <w:rPr>
                      <w:rFonts w:ascii="仿宋_GB2312" w:hAnsi="仿宋_GB2312" w:cs="仿宋_GB2312" w:eastAsia="仿宋_GB2312"/>
                    </w:rPr>
                    <w:t>展架</w:t>
                  </w:r>
                </w:p>
              </w:tc>
              <w:tc>
                <w:tcPr>
                  <w:tcW w:type="dxa" w:w="638"/>
                  <w:gridSpan w:val="2"/>
                </w:tcPr>
                <w:p>
                  <w:pPr>
                    <w:pStyle w:val="null3"/>
                  </w:pPr>
                  <w:r>
                    <w:rPr>
                      <w:rFonts w:ascii="仿宋_GB2312" w:hAnsi="仿宋_GB2312" w:cs="仿宋_GB2312" w:eastAsia="仿宋_GB2312"/>
                    </w:rPr>
                    <w:t>金属展架200cm*85cm</w:t>
                  </w:r>
                </w:p>
              </w:tc>
              <w:tc>
                <w:tcPr>
                  <w:tcW w:type="dxa" w:w="319"/>
                </w:tcPr>
                <w:p>
                  <w:pPr>
                    <w:pStyle w:val="null3"/>
                  </w:pPr>
                  <w:r>
                    <w:rPr>
                      <w:rFonts w:ascii="仿宋_GB2312" w:hAnsi="仿宋_GB2312" w:cs="仿宋_GB2312" w:eastAsia="仿宋_GB2312"/>
                    </w:rPr>
                    <w:t>10</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val="restart"/>
                </w:tcPr>
                <w:p>
                  <w:pPr>
                    <w:pStyle w:val="null3"/>
                  </w:pPr>
                  <w:r>
                    <w:rPr>
                      <w:rFonts w:ascii="仿宋_GB2312" w:hAnsi="仿宋_GB2312" w:cs="仿宋_GB2312" w:eastAsia="仿宋_GB2312"/>
                    </w:rPr>
                    <w:t>2026年全国城市联合招聘高校毕业生春、秋季专场现场招聘活动（2场）</w:t>
                  </w:r>
                </w:p>
              </w:tc>
              <w:tc>
                <w:tcPr>
                  <w:tcW w:type="dxa" w:w="319"/>
                </w:tcPr>
                <w:p>
                  <w:pPr>
                    <w:pStyle w:val="null3"/>
                  </w:pPr>
                  <w:r>
                    <w:rPr>
                      <w:rFonts w:ascii="仿宋_GB2312" w:hAnsi="仿宋_GB2312" w:cs="仿宋_GB2312" w:eastAsia="仿宋_GB2312"/>
                    </w:rPr>
                    <w:t>场地</w:t>
                  </w:r>
                </w:p>
                <w:p>
                  <w:pPr>
                    <w:pStyle w:val="null3"/>
                  </w:pPr>
                  <w:r>
                    <w:rPr>
                      <w:rFonts w:ascii="仿宋_GB2312" w:hAnsi="仿宋_GB2312" w:cs="仿宋_GB2312" w:eastAsia="仿宋_GB2312"/>
                    </w:rPr>
                    <w:t>租用</w:t>
                  </w:r>
                </w:p>
              </w:tc>
              <w:tc>
                <w:tcPr>
                  <w:tcW w:type="dxa" w:w="638"/>
                  <w:gridSpan w:val="2"/>
                </w:tcPr>
                <w:p>
                  <w:pPr>
                    <w:pStyle w:val="null3"/>
                  </w:pPr>
                  <w:r>
                    <w:rPr>
                      <w:rFonts w:ascii="仿宋_GB2312" w:hAnsi="仿宋_GB2312" w:cs="仿宋_GB2312" w:eastAsia="仿宋_GB2312"/>
                    </w:rPr>
                    <w:t>参照理工大学</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场</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主视觉桁架</w:t>
                  </w:r>
                </w:p>
              </w:tc>
              <w:tc>
                <w:tcPr>
                  <w:tcW w:type="dxa" w:w="638"/>
                  <w:gridSpan w:val="2"/>
                </w:tcPr>
                <w:p>
                  <w:pPr>
                    <w:pStyle w:val="null3"/>
                  </w:pPr>
                  <w:r>
                    <w:rPr>
                      <w:rFonts w:ascii="仿宋_GB2312" w:hAnsi="仿宋_GB2312" w:cs="仿宋_GB2312" w:eastAsia="仿宋_GB2312"/>
                    </w:rPr>
                    <w:t>桁架+遮光布喷绘10*4*2m,内置配重</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企业名录及分布图</w:t>
                  </w:r>
                </w:p>
              </w:tc>
              <w:tc>
                <w:tcPr>
                  <w:tcW w:type="dxa" w:w="638"/>
                  <w:gridSpan w:val="2"/>
                </w:tcPr>
                <w:p>
                  <w:pPr>
                    <w:pStyle w:val="null3"/>
                  </w:pPr>
                  <w:r>
                    <w:rPr>
                      <w:rFonts w:ascii="仿宋_GB2312" w:hAnsi="仿宋_GB2312" w:cs="仿宋_GB2312" w:eastAsia="仿宋_GB2312"/>
                    </w:rPr>
                    <w:t>桁架+遮光布喷绘10*4*2m,内置配重</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签到处桁架</w:t>
                  </w:r>
                </w:p>
              </w:tc>
              <w:tc>
                <w:tcPr>
                  <w:tcW w:type="dxa" w:w="638"/>
                  <w:gridSpan w:val="2"/>
                </w:tcPr>
                <w:p>
                  <w:pPr>
                    <w:pStyle w:val="null3"/>
                  </w:pPr>
                  <w:r>
                    <w:rPr>
                      <w:rFonts w:ascii="仿宋_GB2312" w:hAnsi="仿宋_GB2312" w:cs="仿宋_GB2312" w:eastAsia="仿宋_GB2312"/>
                    </w:rPr>
                    <w:t>桁架+遮光布喷绘5*3*2m，内置配重</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政策咨询处桁架</w:t>
                  </w:r>
                </w:p>
              </w:tc>
              <w:tc>
                <w:tcPr>
                  <w:tcW w:type="dxa" w:w="638"/>
                  <w:gridSpan w:val="2"/>
                </w:tcPr>
                <w:p>
                  <w:pPr>
                    <w:pStyle w:val="null3"/>
                  </w:pPr>
                  <w:r>
                    <w:rPr>
                      <w:rFonts w:ascii="仿宋_GB2312" w:hAnsi="仿宋_GB2312" w:cs="仿宋_GB2312" w:eastAsia="仿宋_GB2312"/>
                    </w:rPr>
                    <w:t>桁架+遮光布喷绘5*3*2m，内置配重</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专区展板配套手举杆</w:t>
                  </w:r>
                </w:p>
              </w:tc>
              <w:tc>
                <w:tcPr>
                  <w:tcW w:type="dxa" w:w="638"/>
                  <w:gridSpan w:val="2"/>
                </w:tcPr>
                <w:p>
                  <w:pPr>
                    <w:pStyle w:val="null3"/>
                  </w:pPr>
                  <w:r>
                    <w:rPr>
                      <w:rFonts w:ascii="仿宋_GB2312" w:hAnsi="仿宋_GB2312" w:cs="仿宋_GB2312" w:eastAsia="仿宋_GB2312"/>
                    </w:rPr>
                    <w:t>立式金属架+双面KT板1.2*0.4m</w:t>
                  </w:r>
                  <w:r>
                    <w:br/>
                  </w:r>
                  <w:r>
                    <w:rPr>
                      <w:rFonts w:ascii="仿宋_GB2312" w:hAnsi="仿宋_GB2312" w:cs="仿宋_GB2312" w:eastAsia="仿宋_GB2312"/>
                    </w:rPr>
                    <w:t xml:space="preserve"> （含特色招聘专区、咸阳、渭南、商洛专区等）</w:t>
                  </w:r>
                </w:p>
              </w:tc>
              <w:tc>
                <w:tcPr>
                  <w:tcW w:type="dxa" w:w="319"/>
                </w:tcPr>
                <w:p>
                  <w:pPr>
                    <w:pStyle w:val="null3"/>
                  </w:pPr>
                  <w:r>
                    <w:rPr>
                      <w:rFonts w:ascii="仿宋_GB2312" w:hAnsi="仿宋_GB2312" w:cs="仿宋_GB2312" w:eastAsia="仿宋_GB2312"/>
                    </w:rPr>
                    <w:t>25</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展位费</w:t>
                  </w:r>
                </w:p>
              </w:tc>
              <w:tc>
                <w:tcPr>
                  <w:tcW w:type="dxa" w:w="638"/>
                  <w:gridSpan w:val="2"/>
                </w:tcPr>
                <w:p>
                  <w:pPr>
                    <w:pStyle w:val="null3"/>
                  </w:pPr>
                  <w:r>
                    <w:rPr>
                      <w:rFonts w:ascii="仿宋_GB2312" w:hAnsi="仿宋_GB2312" w:cs="仿宋_GB2312" w:eastAsia="仿宋_GB2312"/>
                    </w:rPr>
                    <w:t>含帐篷、两桌六椅（签到处、政策咨询、简历诊断）</w:t>
                  </w:r>
                </w:p>
              </w:tc>
              <w:tc>
                <w:tcPr>
                  <w:tcW w:type="dxa" w:w="319"/>
                </w:tcPr>
                <w:p>
                  <w:pPr>
                    <w:pStyle w:val="null3"/>
                  </w:pPr>
                  <w:r>
                    <w:rPr>
                      <w:rFonts w:ascii="仿宋_GB2312" w:hAnsi="仿宋_GB2312" w:cs="仿宋_GB2312" w:eastAsia="仿宋_GB2312"/>
                    </w:rPr>
                    <w:t>260</w:t>
                  </w:r>
                </w:p>
              </w:tc>
              <w:tc>
                <w:tcPr>
                  <w:tcW w:type="dxa" w:w="319"/>
                </w:tcPr>
                <w:p>
                  <w:pPr>
                    <w:pStyle w:val="null3"/>
                  </w:pPr>
                  <w:r>
                    <w:rPr>
                      <w:rFonts w:ascii="仿宋_GB2312" w:hAnsi="仿宋_GB2312" w:cs="仿宋_GB2312" w:eastAsia="仿宋_GB2312"/>
                    </w:rPr>
                    <w:t>套</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门楣</w:t>
                  </w:r>
                </w:p>
              </w:tc>
              <w:tc>
                <w:tcPr>
                  <w:tcW w:type="dxa" w:w="638"/>
                  <w:gridSpan w:val="2"/>
                </w:tcPr>
                <w:p>
                  <w:pPr>
                    <w:pStyle w:val="null3"/>
                  </w:pPr>
                  <w:r>
                    <w:rPr>
                      <w:rFonts w:ascii="仿宋_GB2312" w:hAnsi="仿宋_GB2312" w:cs="仿宋_GB2312" w:eastAsia="仿宋_GB2312"/>
                    </w:rPr>
                    <w:t>KT板0.2*1.2m</w:t>
                  </w:r>
                </w:p>
              </w:tc>
              <w:tc>
                <w:tcPr>
                  <w:tcW w:type="dxa" w:w="319"/>
                </w:tcPr>
                <w:p>
                  <w:pPr>
                    <w:pStyle w:val="null3"/>
                  </w:pPr>
                  <w:r>
                    <w:rPr>
                      <w:rFonts w:ascii="仿宋_GB2312" w:hAnsi="仿宋_GB2312" w:cs="仿宋_GB2312" w:eastAsia="仿宋_GB2312"/>
                    </w:rPr>
                    <w:t>520</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638"/>
                  <w:gridSpan w:val="2"/>
                </w:tcPr>
                <w:p>
                  <w:pPr>
                    <w:pStyle w:val="null3"/>
                  </w:pPr>
                  <w:r>
                    <w:rPr>
                      <w:rFonts w:ascii="仿宋_GB2312" w:hAnsi="仿宋_GB2312" w:cs="仿宋_GB2312" w:eastAsia="仿宋_GB2312"/>
                    </w:rPr>
                    <w:t>KT板0.2*2.4m（含智能数字化专区、创意互动游戏区）</w:t>
                  </w:r>
                </w:p>
              </w:tc>
              <w:tc>
                <w:tcPr>
                  <w:tcW w:type="dxa" w:w="319"/>
                </w:tcPr>
                <w:p>
                  <w:pPr>
                    <w:pStyle w:val="null3"/>
                  </w:pPr>
                  <w:r>
                    <w:rPr>
                      <w:rFonts w:ascii="仿宋_GB2312" w:hAnsi="仿宋_GB2312" w:cs="仿宋_GB2312" w:eastAsia="仿宋_GB2312"/>
                    </w:rPr>
                    <w:t>25</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海报</w:t>
                  </w:r>
                </w:p>
              </w:tc>
              <w:tc>
                <w:tcPr>
                  <w:tcW w:type="dxa" w:w="638"/>
                  <w:gridSpan w:val="2"/>
                </w:tcPr>
                <w:p>
                  <w:pPr>
                    <w:pStyle w:val="null3"/>
                  </w:pPr>
                  <w:r>
                    <w:rPr>
                      <w:rFonts w:ascii="仿宋_GB2312" w:hAnsi="仿宋_GB2312" w:cs="仿宋_GB2312" w:eastAsia="仿宋_GB2312"/>
                    </w:rPr>
                    <w:t>KT板1*1.2m</w:t>
                  </w:r>
                </w:p>
              </w:tc>
              <w:tc>
                <w:tcPr>
                  <w:tcW w:type="dxa" w:w="319"/>
                </w:tcPr>
                <w:p>
                  <w:pPr>
                    <w:pStyle w:val="null3"/>
                  </w:pPr>
                  <w:r>
                    <w:rPr>
                      <w:rFonts w:ascii="仿宋_GB2312" w:hAnsi="仿宋_GB2312" w:cs="仿宋_GB2312" w:eastAsia="仿宋_GB2312"/>
                    </w:rPr>
                    <w:t>520</w:t>
                  </w:r>
                </w:p>
              </w:tc>
              <w:tc>
                <w:tcPr>
                  <w:tcW w:type="dxa" w:w="319"/>
                </w:tcPr>
                <w:p>
                  <w:pPr>
                    <w:pStyle w:val="null3"/>
                  </w:pPr>
                  <w:r>
                    <w:rPr>
                      <w:rFonts w:ascii="仿宋_GB2312" w:hAnsi="仿宋_GB2312" w:cs="仿宋_GB2312" w:eastAsia="仿宋_GB2312"/>
                    </w:rPr>
                    <w:t>张</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道旗</w:t>
                  </w:r>
                </w:p>
              </w:tc>
              <w:tc>
                <w:tcPr>
                  <w:tcW w:type="dxa" w:w="638"/>
                  <w:gridSpan w:val="2"/>
                </w:tcPr>
                <w:p>
                  <w:pPr>
                    <w:pStyle w:val="null3"/>
                  </w:pPr>
                  <w:r>
                    <w:rPr>
                      <w:rFonts w:ascii="仿宋_GB2312" w:hAnsi="仿宋_GB2312" w:cs="仿宋_GB2312" w:eastAsia="仿宋_GB2312"/>
                    </w:rPr>
                    <w:t>水座旗5m</w:t>
                  </w:r>
                </w:p>
              </w:tc>
              <w:tc>
                <w:tcPr>
                  <w:tcW w:type="dxa" w:w="319"/>
                </w:tcPr>
                <w:p>
                  <w:pPr>
                    <w:pStyle w:val="null3"/>
                  </w:pPr>
                  <w:r>
                    <w:rPr>
                      <w:rFonts w:ascii="仿宋_GB2312" w:hAnsi="仿宋_GB2312" w:cs="仿宋_GB2312" w:eastAsia="仿宋_GB2312"/>
                    </w:rPr>
                    <w:t>30</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x型展架</w:t>
                  </w:r>
                </w:p>
              </w:tc>
              <w:tc>
                <w:tcPr>
                  <w:tcW w:type="dxa" w:w="638"/>
                  <w:gridSpan w:val="2"/>
                </w:tcPr>
                <w:p>
                  <w:pPr>
                    <w:pStyle w:val="null3"/>
                  </w:pPr>
                  <w:r>
                    <w:rPr>
                      <w:rFonts w:ascii="仿宋_GB2312" w:hAnsi="仿宋_GB2312" w:cs="仿宋_GB2312" w:eastAsia="仿宋_GB2312"/>
                    </w:rPr>
                    <w:t>金属展架200cm*85cm（含指引、出入口、卫生间、报名通道宣传、专区展架）</w:t>
                  </w:r>
                </w:p>
              </w:tc>
              <w:tc>
                <w:tcPr>
                  <w:tcW w:type="dxa" w:w="319"/>
                </w:tcPr>
                <w:p>
                  <w:pPr>
                    <w:pStyle w:val="null3"/>
                  </w:pPr>
                  <w:r>
                    <w:rPr>
                      <w:rFonts w:ascii="仿宋_GB2312" w:hAnsi="仿宋_GB2312" w:cs="仿宋_GB2312" w:eastAsia="仿宋_GB2312"/>
                    </w:rPr>
                    <w:t>30</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安保、保洁</w:t>
                  </w:r>
                </w:p>
              </w:tc>
              <w:tc>
                <w:tcPr>
                  <w:tcW w:type="dxa" w:w="638"/>
                  <w:gridSpan w:val="2"/>
                </w:tcPr>
                <w:p>
                  <w:pPr>
                    <w:pStyle w:val="null3"/>
                  </w:pPr>
                  <w:r>
                    <w:rPr>
                      <w:rFonts w:ascii="仿宋_GB2312" w:hAnsi="仿宋_GB2312" w:cs="仿宋_GB2312" w:eastAsia="仿宋_GB2312"/>
                    </w:rPr>
                    <w:t>/</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餐</w:t>
                  </w:r>
                </w:p>
              </w:tc>
              <w:tc>
                <w:tcPr>
                  <w:tcW w:type="dxa" w:w="638"/>
                  <w:gridSpan w:val="2"/>
                </w:tcPr>
                <w:p>
                  <w:pPr>
                    <w:pStyle w:val="null3"/>
                  </w:pPr>
                  <w:r>
                    <w:rPr>
                      <w:rFonts w:ascii="仿宋_GB2312" w:hAnsi="仿宋_GB2312" w:cs="仿宋_GB2312" w:eastAsia="仿宋_GB2312"/>
                    </w:rPr>
                    <w:t>盒饭（快餐）</w:t>
                  </w:r>
                </w:p>
              </w:tc>
              <w:tc>
                <w:tcPr>
                  <w:tcW w:type="dxa" w:w="319"/>
                </w:tcPr>
                <w:p>
                  <w:pPr>
                    <w:pStyle w:val="null3"/>
                  </w:pPr>
                  <w:r>
                    <w:rPr>
                      <w:rFonts w:ascii="仿宋_GB2312" w:hAnsi="仿宋_GB2312" w:cs="仿宋_GB2312" w:eastAsia="仿宋_GB2312"/>
                    </w:rPr>
                    <w:t>1100</w:t>
                  </w:r>
                </w:p>
              </w:tc>
              <w:tc>
                <w:tcPr>
                  <w:tcW w:type="dxa" w:w="319"/>
                </w:tcPr>
                <w:p>
                  <w:pPr>
                    <w:pStyle w:val="null3"/>
                  </w:pPr>
                  <w:r>
                    <w:rPr>
                      <w:rFonts w:ascii="仿宋_GB2312" w:hAnsi="仿宋_GB2312" w:cs="仿宋_GB2312" w:eastAsia="仿宋_GB2312"/>
                    </w:rPr>
                    <w:t>份</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饮用水</w:t>
                  </w:r>
                </w:p>
              </w:tc>
              <w:tc>
                <w:tcPr>
                  <w:tcW w:type="dxa" w:w="638"/>
                  <w:gridSpan w:val="2"/>
                </w:tcPr>
                <w:p>
                  <w:pPr>
                    <w:pStyle w:val="null3"/>
                  </w:pPr>
                  <w:r>
                    <w:rPr>
                      <w:rFonts w:ascii="仿宋_GB2312" w:hAnsi="仿宋_GB2312" w:cs="仿宋_GB2312" w:eastAsia="仿宋_GB2312"/>
                    </w:rPr>
                    <w:t>标准饮用水（60箱）</w:t>
                  </w:r>
                </w:p>
              </w:tc>
              <w:tc>
                <w:tcPr>
                  <w:tcW w:type="dxa" w:w="319"/>
                </w:tcPr>
                <w:p>
                  <w:pPr>
                    <w:pStyle w:val="null3"/>
                  </w:pPr>
                  <w:r>
                    <w:rPr>
                      <w:rFonts w:ascii="仿宋_GB2312" w:hAnsi="仿宋_GB2312" w:cs="仿宋_GB2312" w:eastAsia="仿宋_GB2312"/>
                    </w:rPr>
                    <w:t>1440</w:t>
                  </w:r>
                </w:p>
              </w:tc>
              <w:tc>
                <w:tcPr>
                  <w:tcW w:type="dxa" w:w="319"/>
                </w:tcPr>
                <w:p>
                  <w:pPr>
                    <w:pStyle w:val="null3"/>
                  </w:pPr>
                  <w:r>
                    <w:rPr>
                      <w:rFonts w:ascii="仿宋_GB2312" w:hAnsi="仿宋_GB2312" w:cs="仿宋_GB2312" w:eastAsia="仿宋_GB2312"/>
                    </w:rPr>
                    <w:t>瓶</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参会证内芯</w:t>
                  </w:r>
                </w:p>
              </w:tc>
              <w:tc>
                <w:tcPr>
                  <w:tcW w:type="dxa" w:w="638"/>
                  <w:gridSpan w:val="2"/>
                </w:tcPr>
                <w:p>
                  <w:pPr>
                    <w:pStyle w:val="null3"/>
                  </w:pPr>
                  <w:r>
                    <w:rPr>
                      <w:rFonts w:ascii="仿宋_GB2312" w:hAnsi="仿宋_GB2312" w:cs="仿宋_GB2312" w:eastAsia="仿宋_GB2312"/>
                    </w:rPr>
                    <w:t>双面铜版纸</w:t>
                  </w:r>
                </w:p>
              </w:tc>
              <w:tc>
                <w:tcPr>
                  <w:tcW w:type="dxa" w:w="319"/>
                </w:tcPr>
                <w:p>
                  <w:pPr>
                    <w:pStyle w:val="null3"/>
                  </w:pPr>
                  <w:r>
                    <w:rPr>
                      <w:rFonts w:ascii="仿宋_GB2312" w:hAnsi="仿宋_GB2312" w:cs="仿宋_GB2312" w:eastAsia="仿宋_GB2312"/>
                    </w:rPr>
                    <w:t>1200</w:t>
                  </w:r>
                </w:p>
              </w:tc>
              <w:tc>
                <w:tcPr>
                  <w:tcW w:type="dxa" w:w="319"/>
                </w:tcPr>
                <w:p>
                  <w:pPr>
                    <w:pStyle w:val="null3"/>
                  </w:pPr>
                  <w:r>
                    <w:rPr>
                      <w:rFonts w:ascii="仿宋_GB2312" w:hAnsi="仿宋_GB2312" w:cs="仿宋_GB2312" w:eastAsia="仿宋_GB2312"/>
                    </w:rPr>
                    <w:t>个</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会务用品</w:t>
                  </w:r>
                </w:p>
              </w:tc>
              <w:tc>
                <w:tcPr>
                  <w:tcW w:type="dxa" w:w="638"/>
                  <w:gridSpan w:val="2"/>
                </w:tcPr>
                <w:p>
                  <w:pPr>
                    <w:pStyle w:val="null3"/>
                  </w:pPr>
                  <w:r>
                    <w:rPr>
                      <w:rFonts w:ascii="仿宋_GB2312" w:hAnsi="仿宋_GB2312" w:cs="仿宋_GB2312" w:eastAsia="仿宋_GB2312"/>
                    </w:rPr>
                    <w:t>含手提袋、招聘表格、签字笔等</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1</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职业技能赋能服务区</w:t>
                  </w:r>
                </w:p>
              </w:tc>
              <w:tc>
                <w:tcPr>
                  <w:tcW w:type="dxa" w:w="638"/>
                  <w:gridSpan w:val="2"/>
                </w:tcPr>
                <w:p>
                  <w:pPr>
                    <w:pStyle w:val="null3"/>
                  </w:pPr>
                  <w:r>
                    <w:rPr>
                      <w:rFonts w:ascii="仿宋_GB2312" w:hAnsi="仿宋_GB2312" w:cs="仿宋_GB2312" w:eastAsia="仿宋_GB2312"/>
                    </w:rPr>
                    <w:t>含AI视觉识别终端租赁、AI应用场景海报、辅助物料含简易操作指引卡（图文标注设备使用步骤）、作品收纳盒等制作及搭建</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场</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智能数字化专区</w:t>
                  </w:r>
                </w:p>
              </w:tc>
              <w:tc>
                <w:tcPr>
                  <w:tcW w:type="dxa" w:w="638"/>
                  <w:gridSpan w:val="2"/>
                </w:tcPr>
                <w:p>
                  <w:pPr>
                    <w:pStyle w:val="null3"/>
                  </w:pPr>
                  <w:r>
                    <w:rPr>
                      <w:rFonts w:ascii="仿宋_GB2312" w:hAnsi="仿宋_GB2312" w:cs="仿宋_GB2312" w:eastAsia="仿宋_GB2312"/>
                    </w:rPr>
                    <w:t>开设VR企业展区，含数字化服务设备、AI简历分析仪，通过大数据实现岗位与简历的精准匹配，租赁、搭建</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场</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新兴产业主题专区</w:t>
                  </w:r>
                </w:p>
              </w:tc>
              <w:tc>
                <w:tcPr>
                  <w:tcW w:type="dxa" w:w="638"/>
                  <w:gridSpan w:val="2"/>
                </w:tcPr>
                <w:p>
                  <w:pPr>
                    <w:pStyle w:val="null3"/>
                  </w:pPr>
                  <w:r>
                    <w:rPr>
                      <w:rFonts w:ascii="仿宋_GB2312" w:hAnsi="仿宋_GB2312" w:cs="仿宋_GB2312" w:eastAsia="仿宋_GB2312"/>
                    </w:rPr>
                    <w:t>含主题留言墙、主题提问箱、主题背景贴、嘉宾回应展示板、区域功能标识贴物料制作及搭建，提供现场人工引导、答疑</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场</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val="restart"/>
                </w:tcPr>
                <w:p>
                  <w:pPr>
                    <w:pStyle w:val="null3"/>
                  </w:pPr>
                  <w:r>
                    <w:rPr>
                      <w:rFonts w:ascii="仿宋_GB2312" w:hAnsi="仿宋_GB2312" w:cs="仿宋_GB2312" w:eastAsia="仿宋_GB2312"/>
                    </w:rPr>
                    <w:t>创意互动游戏区</w:t>
                  </w:r>
                </w:p>
              </w:tc>
              <w:tc>
                <w:tcPr>
                  <w:tcW w:type="dxa" w:w="319"/>
                </w:tcPr>
                <w:p>
                  <w:pPr>
                    <w:pStyle w:val="null3"/>
                  </w:pPr>
                  <w:r>
                    <w:rPr>
                      <w:rFonts w:ascii="仿宋_GB2312" w:hAnsi="仿宋_GB2312" w:cs="仿宋_GB2312" w:eastAsia="仿宋_GB2312"/>
                    </w:rPr>
                    <w:t>求职锦鲤大派送</w:t>
                  </w:r>
                </w:p>
              </w:tc>
              <w:tc>
                <w:tcPr>
                  <w:tcW w:type="dxa" w:w="319"/>
                </w:tcPr>
                <w:p>
                  <w:pPr>
                    <w:pStyle w:val="null3"/>
                  </w:pPr>
                  <w:r>
                    <w:rPr>
                      <w:rFonts w:ascii="仿宋_GB2312" w:hAnsi="仿宋_GB2312" w:cs="仿宋_GB2312" w:eastAsia="仿宋_GB2312"/>
                    </w:rPr>
                    <w:t>含终端机租赁、线上抽奖助手、抽奖箱 + 号码牌、求职小礼品及兑换台等物料制作及搭建</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套</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vMerge/>
                </w:tcPr>
                <w:p/>
              </w:tc>
              <w:tc>
                <w:tcPr>
                  <w:tcW w:type="dxa" w:w="319"/>
                </w:tcPr>
                <w:p>
                  <w:pPr>
                    <w:pStyle w:val="null3"/>
                  </w:pPr>
                  <w:r>
                    <w:rPr>
                      <w:rFonts w:ascii="仿宋_GB2312" w:hAnsi="仿宋_GB2312" w:cs="仿宋_GB2312" w:eastAsia="仿宋_GB2312"/>
                    </w:rPr>
                    <w:t>职场情景闯关</w:t>
                  </w:r>
                </w:p>
              </w:tc>
              <w:tc>
                <w:tcPr>
                  <w:tcW w:type="dxa" w:w="319"/>
                </w:tcPr>
                <w:p>
                  <w:pPr>
                    <w:pStyle w:val="null3"/>
                  </w:pPr>
                  <w:r>
                    <w:rPr>
                      <w:rFonts w:ascii="仿宋_GB2312" w:hAnsi="仿宋_GB2312" w:cs="仿宋_GB2312" w:eastAsia="仿宋_GB2312"/>
                    </w:rPr>
                    <w:t>“职业升级树” 立体背景墙、塑封闯关卡、情景卡片（含喷绘布，印活动主题 + IP形象 + 所有政策关键词，供参与者拍照打卡）等物料制作及搭建，提供现场人工引导、答疑</w:t>
                  </w:r>
                </w:p>
              </w:tc>
              <w:tc>
                <w:tcPr>
                  <w:tcW w:type="dxa" w:w="319"/>
                </w:tcPr>
                <w:p>
                  <w:pPr>
                    <w:pStyle w:val="null3"/>
                  </w:pPr>
                  <w:r>
                    <w:rPr>
                      <w:rFonts w:ascii="仿宋_GB2312" w:hAnsi="仿宋_GB2312" w:cs="仿宋_GB2312" w:eastAsia="仿宋_GB2312"/>
                    </w:rPr>
                    <w:t>12</w:t>
                  </w:r>
                </w:p>
              </w:tc>
              <w:tc>
                <w:tcPr>
                  <w:tcW w:type="dxa" w:w="319"/>
                </w:tcPr>
                <w:p>
                  <w:pPr>
                    <w:pStyle w:val="null3"/>
                  </w:pPr>
                  <w:r>
                    <w:rPr>
                      <w:rFonts w:ascii="仿宋_GB2312" w:hAnsi="仿宋_GB2312" w:cs="仿宋_GB2312" w:eastAsia="仿宋_GB2312"/>
                    </w:rPr>
                    <w:t>人</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宣传</w:t>
                  </w:r>
                </w:p>
              </w:tc>
              <w:tc>
                <w:tcPr>
                  <w:tcW w:type="dxa" w:w="638"/>
                  <w:gridSpan w:val="2"/>
                </w:tcPr>
                <w:p>
                  <w:pPr>
                    <w:pStyle w:val="null3"/>
                  </w:pPr>
                  <w:r>
                    <w:rPr>
                      <w:rFonts w:ascii="仿宋_GB2312" w:hAnsi="仿宋_GB2312" w:cs="仿宋_GB2312" w:eastAsia="仿宋_GB2312"/>
                    </w:rPr>
                    <w:t>省/市知名媒体、本地头部公众号多平台全流程宣传（含活动预热、成果宣传）</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横幅</w:t>
                  </w:r>
                </w:p>
              </w:tc>
              <w:tc>
                <w:tcPr>
                  <w:tcW w:type="dxa" w:w="638"/>
                  <w:gridSpan w:val="2"/>
                </w:tcPr>
                <w:p>
                  <w:pPr>
                    <w:pStyle w:val="null3"/>
                  </w:pPr>
                  <w:r>
                    <w:rPr>
                      <w:rFonts w:ascii="仿宋_GB2312" w:hAnsi="仿宋_GB2312" w:cs="仿宋_GB2312" w:eastAsia="仿宋_GB2312"/>
                    </w:rPr>
                    <w:t>10m*0.7m</w:t>
                  </w:r>
                </w:p>
              </w:tc>
              <w:tc>
                <w:tcPr>
                  <w:tcW w:type="dxa" w:w="319"/>
                </w:tcPr>
                <w:p>
                  <w:pPr>
                    <w:pStyle w:val="null3"/>
                  </w:pPr>
                  <w:r>
                    <w:rPr>
                      <w:rFonts w:ascii="仿宋_GB2312" w:hAnsi="仿宋_GB2312" w:cs="仿宋_GB2312" w:eastAsia="仿宋_GB2312"/>
                    </w:rPr>
                    <w:t>2</w:t>
                  </w:r>
                </w:p>
              </w:tc>
              <w:tc>
                <w:tcPr>
                  <w:tcW w:type="dxa" w:w="319"/>
                </w:tcPr>
                <w:p>
                  <w:pPr>
                    <w:pStyle w:val="null3"/>
                  </w:pPr>
                  <w:r>
                    <w:rPr>
                      <w:rFonts w:ascii="仿宋_GB2312" w:hAnsi="仿宋_GB2312" w:cs="仿宋_GB2312" w:eastAsia="仿宋_GB2312"/>
                    </w:rPr>
                    <w:t>条</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val="restart"/>
                </w:tcPr>
                <w:p>
                  <w:pPr>
                    <w:pStyle w:val="null3"/>
                  </w:pPr>
                  <w:r>
                    <w:rPr>
                      <w:rFonts w:ascii="仿宋_GB2312" w:hAnsi="仿宋_GB2312" w:cs="仿宋_GB2312" w:eastAsia="仿宋_GB2312"/>
                    </w:rPr>
                    <w:t>春、秋网络招聘活动（2场）</w:t>
                  </w:r>
                </w:p>
              </w:tc>
              <w:tc>
                <w:tcPr>
                  <w:tcW w:type="dxa" w:w="319"/>
                </w:tcPr>
                <w:p>
                  <w:pPr>
                    <w:pStyle w:val="null3"/>
                  </w:pPr>
                  <w:r>
                    <w:rPr>
                      <w:rFonts w:ascii="仿宋_GB2312" w:hAnsi="仿宋_GB2312" w:cs="仿宋_GB2312" w:eastAsia="仿宋_GB2312"/>
                    </w:rPr>
                    <w:t>空中双选会平台使用及搭建(招聘系统)</w:t>
                  </w:r>
                </w:p>
              </w:tc>
              <w:tc>
                <w:tcPr>
                  <w:tcW w:type="dxa" w:w="638"/>
                  <w:gridSpan w:val="2"/>
                  <w:vMerge w:val="restart"/>
                </w:tcPr>
                <w:p>
                  <w:pPr>
                    <w:pStyle w:val="null3"/>
                  </w:pPr>
                  <w:r>
                    <w:rPr>
                      <w:rFonts w:ascii="仿宋_GB2312" w:hAnsi="仿宋_GB2312" w:cs="仿宋_GB2312" w:eastAsia="仿宋_GB2312"/>
                    </w:rPr>
                    <w:t>配套招聘网站、视频面试系统、提供全程网络技术支持</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活动主区及宣传图设计</w:t>
                  </w:r>
                </w:p>
              </w:tc>
              <w:tc>
                <w:tcPr>
                  <w:tcW w:type="dxa" w:w="638"/>
                  <w:gridSpan w:val="2"/>
                  <w:vMerge/>
                </w:tcP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项</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val="restart"/>
                </w:tcPr>
                <w:p>
                  <w:pPr>
                    <w:pStyle w:val="null3"/>
                  </w:pPr>
                  <w:r>
                    <w:rPr>
                      <w:rFonts w:ascii="仿宋_GB2312" w:hAnsi="仿宋_GB2312" w:cs="仿宋_GB2312" w:eastAsia="仿宋_GB2312"/>
                    </w:rPr>
                    <w:t>春、秋直播带岗活动（2场）</w:t>
                  </w:r>
                </w:p>
              </w:tc>
              <w:tc>
                <w:tcPr>
                  <w:tcW w:type="dxa" w:w="319"/>
                </w:tcPr>
                <w:p>
                  <w:pPr>
                    <w:pStyle w:val="null3"/>
                  </w:pPr>
                  <w:r>
                    <w:rPr>
                      <w:rFonts w:ascii="仿宋_GB2312" w:hAnsi="仿宋_GB2312" w:cs="仿宋_GB2312" w:eastAsia="仿宋_GB2312"/>
                    </w:rPr>
                    <w:t>云招聘平台</w:t>
                  </w:r>
                </w:p>
              </w:tc>
              <w:tc>
                <w:tcPr>
                  <w:tcW w:type="dxa" w:w="638"/>
                  <w:gridSpan w:val="2"/>
                </w:tcPr>
                <w:p>
                  <w:pPr>
                    <w:pStyle w:val="null3"/>
                  </w:pPr>
                  <w:r>
                    <w:rPr>
                      <w:rFonts w:ascii="仿宋_GB2312" w:hAnsi="仿宋_GB2312" w:cs="仿宋_GB2312" w:eastAsia="仿宋_GB2312"/>
                    </w:rPr>
                    <w:t>含直播网页搭建（求职者可通过手机或电脑收看直播回放）+直播互动（求职者观看期间可通过弹幕及评论进行互动）+简历投递（求职者可快速填写或导入个人简历，统计投递记录）并推流至本地知名媒体</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套</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直播设备</w:t>
                  </w:r>
                </w:p>
              </w:tc>
              <w:tc>
                <w:tcPr>
                  <w:tcW w:type="dxa" w:w="638"/>
                  <w:gridSpan w:val="2"/>
                </w:tcPr>
                <w:p>
                  <w:pPr>
                    <w:pStyle w:val="null3"/>
                  </w:pPr>
                  <w:r>
                    <w:rPr>
                      <w:rFonts w:ascii="仿宋_GB2312" w:hAnsi="仿宋_GB2312" w:cs="仿宋_GB2312" w:eastAsia="仿宋_GB2312"/>
                    </w:rPr>
                    <w:t>摄影机2台、导播台1套、补光灯、收音设备等</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套</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直播间物料制作及搭建</w:t>
                  </w:r>
                </w:p>
              </w:tc>
              <w:tc>
                <w:tcPr>
                  <w:tcW w:type="dxa" w:w="638"/>
                  <w:gridSpan w:val="2"/>
                </w:tcPr>
                <w:p>
                  <w:pPr>
                    <w:pStyle w:val="null3"/>
                  </w:pPr>
                  <w:r>
                    <w:rPr>
                      <w:rFonts w:ascii="仿宋_GB2312" w:hAnsi="仿宋_GB2312" w:cs="仿宋_GB2312" w:eastAsia="仿宋_GB2312"/>
                    </w:rPr>
                    <w:t>异形直播背景板制作及搭建，企业二维码展板、主持人手卡、麦卡、桌牌、直播盒子等物料</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套</w:t>
                  </w:r>
                </w:p>
              </w:tc>
              <w:tc>
                <w:tcPr>
                  <w:tcW w:type="dxa" w:w="319"/>
                </w:tcPr>
                <w:p>
                  <w:pPr>
                    <w:pStyle w:val="null3"/>
                  </w:pPr>
                  <w:r>
                    <w:rPr>
                      <w:rFonts w:ascii="仿宋_GB2312" w:hAnsi="仿宋_GB2312" w:cs="仿宋_GB2312" w:eastAsia="仿宋_GB2312"/>
                    </w:rPr>
                    <w:t>2</w:t>
                  </w:r>
                </w:p>
              </w:tc>
            </w:tr>
            <w:tr>
              <w:tc>
                <w:tcPr>
                  <w:tcW w:type="dxa" w:w="319"/>
                  <w:vMerge/>
                </w:tcPr>
                <w:p/>
              </w:tc>
              <w:tc>
                <w:tcPr>
                  <w:tcW w:type="dxa" w:w="319"/>
                  <w:vMerge/>
                </w:tcPr>
                <w:p/>
              </w:tc>
              <w:tc>
                <w:tcPr>
                  <w:tcW w:type="dxa" w:w="319"/>
                </w:tcPr>
                <w:p>
                  <w:pPr>
                    <w:pStyle w:val="null3"/>
                  </w:pPr>
                  <w:r>
                    <w:rPr>
                      <w:rFonts w:ascii="仿宋_GB2312" w:hAnsi="仿宋_GB2312" w:cs="仿宋_GB2312" w:eastAsia="仿宋_GB2312"/>
                    </w:rPr>
                    <w:t>主持人</w:t>
                  </w:r>
                </w:p>
              </w:tc>
              <w:tc>
                <w:tcPr>
                  <w:tcW w:type="dxa" w:w="638"/>
                  <w:gridSpan w:val="2"/>
                </w:tcPr>
                <w:p>
                  <w:pPr>
                    <w:pStyle w:val="null3"/>
                  </w:pPr>
                  <w:r>
                    <w:rPr>
                      <w:rFonts w:ascii="仿宋_GB2312" w:hAnsi="仿宋_GB2312" w:cs="仿宋_GB2312" w:eastAsia="仿宋_GB2312"/>
                    </w:rPr>
                    <w:t>/</w:t>
                  </w:r>
                </w:p>
              </w:tc>
              <w:tc>
                <w:tcPr>
                  <w:tcW w:type="dxa" w:w="319"/>
                </w:tcPr>
                <w:p>
                  <w:pPr>
                    <w:pStyle w:val="null3"/>
                  </w:pPr>
                  <w:r>
                    <w:rPr>
                      <w:rFonts w:ascii="仿宋_GB2312" w:hAnsi="仿宋_GB2312" w:cs="仿宋_GB2312" w:eastAsia="仿宋_GB2312"/>
                    </w:rPr>
                    <w:t>1</w:t>
                  </w:r>
                </w:p>
              </w:tc>
              <w:tc>
                <w:tcPr>
                  <w:tcW w:type="dxa" w:w="319"/>
                </w:tcPr>
                <w:p>
                  <w:pPr>
                    <w:pStyle w:val="null3"/>
                  </w:pPr>
                  <w:r>
                    <w:rPr>
                      <w:rFonts w:ascii="仿宋_GB2312" w:hAnsi="仿宋_GB2312" w:cs="仿宋_GB2312" w:eastAsia="仿宋_GB2312"/>
                    </w:rPr>
                    <w:t>位</w:t>
                  </w:r>
                </w:p>
              </w:tc>
              <w:tc>
                <w:tcPr>
                  <w:tcW w:type="dxa" w:w="319"/>
                </w:tcPr>
                <w:p>
                  <w:pPr>
                    <w:pStyle w:val="null3"/>
                  </w:pPr>
                  <w:r>
                    <w:rPr>
                      <w:rFonts w:ascii="仿宋_GB2312" w:hAnsi="仿宋_GB2312" w:cs="仿宋_GB2312" w:eastAsia="仿宋_GB2312"/>
                    </w:rPr>
                    <w:t>2</w:t>
                  </w:r>
                </w:p>
              </w:tc>
            </w:tr>
          </w:tbl>
          <w:p>
            <w:pPr>
              <w:pStyle w:val="null3"/>
            </w:pPr>
            <w:r>
              <w:rPr>
                <w:rFonts w:ascii="仿宋_GB2312" w:hAnsi="仿宋_GB2312" w:cs="仿宋_GB2312" w:eastAsia="仿宋_GB2312"/>
              </w:rPr>
              <w:t>六、其他要求</w:t>
            </w:r>
          </w:p>
          <w:p>
            <w:pPr>
              <w:pStyle w:val="null3"/>
            </w:pPr>
            <w:r>
              <w:rPr>
                <w:rFonts w:ascii="仿宋_GB2312" w:hAnsi="仿宋_GB2312" w:cs="仿宋_GB2312" w:eastAsia="仿宋_GB2312"/>
              </w:rPr>
              <w:t>（一）与活动有关的设计产品（含源文件）、数据资料和分析成果所有权归采购人所有。</w:t>
            </w:r>
          </w:p>
          <w:p>
            <w:pPr>
              <w:pStyle w:val="null3"/>
            </w:pPr>
            <w:r>
              <w:rPr>
                <w:rFonts w:ascii="仿宋_GB2312" w:hAnsi="仿宋_GB2312" w:cs="仿宋_GB2312" w:eastAsia="仿宋_GB2312"/>
              </w:rPr>
              <w:t>（二）采购人将按工作要求分阶段进行采购项目的检查验收，如果发现与采购要求不符或与成交文件不符等问题，成交供应商应当按要求采取补救处理措施，并承担相关质量保证责任。若活动结束时仍未按采购要求完成补救处理的，采购人将按未落实项目扣除相应费用。</w:t>
            </w:r>
          </w:p>
          <w:p>
            <w:pPr>
              <w:pStyle w:val="null3"/>
            </w:pPr>
            <w:r>
              <w:rPr>
                <w:rFonts w:ascii="仿宋_GB2312" w:hAnsi="仿宋_GB2312" w:cs="仿宋_GB2312" w:eastAsia="仿宋_GB2312"/>
              </w:rPr>
              <w:t>（三）对于在活动筹备、执行期间突发且与工作有关的相关内容，但未在磋商文件中体现与明确的，成交供应商有义务配合采购方开展相关工作。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自合同签订之日起至项目执行结束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西安市人才服务中心指定地点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以下款项，供应商应开具等额的正规税务发票作为采购人付款凭证，否则采购人有权拒付。签订合同后，达到付款条件起10日内，支付合同总金额的40.00%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秋季全国城市联合招聘高校毕业生春季、秋季专场活动完成准备工作（6月底前），达到付款条件起10日内，支付合同总金额的40.00%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活动结束，验收合格后，根据实际发生费用一次性结清余款，最终支付金额以项目验收结果为准。达到付款条件起10日内，支付合同总金额的 20.00%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赋予的验证码）（成立时间至提交投标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其他符合性审查内容</w:t>
            </w:r>
          </w:p>
        </w:tc>
        <w:tc>
          <w:tcPr>
            <w:tcW w:type="dxa" w:w="3322"/>
          </w:tcPr>
          <w:p>
            <w:pPr>
              <w:pStyle w:val="null3"/>
            </w:pPr>
            <w:r>
              <w:rPr>
                <w:rFonts w:ascii="仿宋_GB2312" w:hAnsi="仿宋_GB2312" w:cs="仿宋_GB2312" w:eastAsia="仿宋_GB2312"/>
              </w:rPr>
              <w:t>有下列情形之一的，应在符合性审查时按照无效磋商处理：(1)磋商响应文件未按照磋商文件规定要求签署、盖章的；(2)不满足本磋商文件中“服务期限、服务地点、采购资金的支付方式及约定”实质性条款要求的；(3)响应文件有效期不足的或无有效期的；(4)报价超过磋商文件中规定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服务响应与偏离表.docx 12其他资料.docx 标的清单 报价表 商务部分偏离表.docx 响应函 资格证明文件.docx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供应商提供对本项目的工作内容理解清晰，能清楚描述本次工作任务目标，并提出技术建议叙述。 方案对评审内容中的要求有详细描述及说明得5分，内容存在一处缺陷扣1分，扣完为止。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缺陷定义的内容“同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1项目理解.docx</w:t>
            </w:r>
          </w:p>
        </w:tc>
      </w:tr>
      <w:tr>
        <w:tc>
          <w:tcPr>
            <w:tcW w:type="dxa" w:w="831"/>
            <w:vMerge/>
          </w:tcPr>
          <w:p/>
        </w:tc>
        <w:tc>
          <w:tcPr>
            <w:tcW w:type="dxa" w:w="1661"/>
          </w:tcPr>
          <w:p>
            <w:pPr>
              <w:pStyle w:val="null3"/>
            </w:pPr>
            <w:r>
              <w:rPr>
                <w:rFonts w:ascii="仿宋_GB2312" w:hAnsi="仿宋_GB2312" w:cs="仿宋_GB2312" w:eastAsia="仿宋_GB2312"/>
              </w:rPr>
              <w:t>总体设计</w:t>
            </w:r>
          </w:p>
        </w:tc>
        <w:tc>
          <w:tcPr>
            <w:tcW w:type="dxa" w:w="2492"/>
          </w:tcPr>
          <w:p>
            <w:pPr>
              <w:pStyle w:val="null3"/>
            </w:pPr>
            <w:r>
              <w:rPr>
                <w:rFonts w:ascii="仿宋_GB2312" w:hAnsi="仿宋_GB2312" w:cs="仿宋_GB2312" w:eastAsia="仿宋_GB2312"/>
              </w:rPr>
              <w:t>根据供应商针对本项目提供的总体设计进行综合评审，内容包括①启动仪式策划②现场招聘活动策划③网络招聘活动策划及直播网页搭建④活动宣发及相关物料。 方案对评审内容中的各项要求有详细描述及说明得16分，每有一项缺项扣4分，每有一项内容存在一处缺陷扣1分，扣完为止。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2总体设计.docx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根据供应商针对本项目提供的服务方案进行综合评审，内容包括①整体服务方案②服务质量管控及进度计划③活动前期筹备④活动落地对接⑤拟投入设备清单。 方案对评审内容中的各项要求有详细描述及说明得20分，每有一项缺项扣4分，每有一项内容存在一处缺陷扣1分，扣完为止。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①项目负责人：负责人有相关领域工作经验或者曾承担过相关工作的主要负责人（须提供业绩证明，项目负责人的业绩与供应商的业绩不重复计分），每提供一份业绩计1分，满分2分； ②项目负责人具有专业能力，并提供相关证明材料（包括但不限于履历证明、相关资质、工作年限、学历证书等），提供完整计3分，每有一项缺陷扣1分，扣完为止。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4项目负责人.docx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提供针对本项目的人员配置方案，内容包括：①拟投入的服务团队人员数量及清单、②人员分工及职责、③人员专业性及工作经验。 方案对评审内容中的各项要求有详细描述及说明得6分，每有一项缺项扣2分，每有一项内容存在一处缺陷扣0.5分，扣完为止。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5团队人员.docx</w:t>
            </w:r>
          </w:p>
        </w:tc>
      </w:tr>
      <w:tr>
        <w:tc>
          <w:tcPr>
            <w:tcW w:type="dxa" w:w="831"/>
            <w:vMerge/>
          </w:tcPr>
          <w:p/>
        </w:tc>
        <w:tc>
          <w:tcPr>
            <w:tcW w:type="dxa" w:w="1661"/>
          </w:tcPr>
          <w:p>
            <w:pPr>
              <w:pStyle w:val="null3"/>
            </w:pPr>
            <w:r>
              <w:rPr>
                <w:rFonts w:ascii="仿宋_GB2312" w:hAnsi="仿宋_GB2312" w:cs="仿宋_GB2312" w:eastAsia="仿宋_GB2312"/>
              </w:rPr>
              <w:t>服务能力1</w:t>
            </w:r>
          </w:p>
        </w:tc>
        <w:tc>
          <w:tcPr>
            <w:tcW w:type="dxa" w:w="2492"/>
          </w:tcPr>
          <w:p>
            <w:pPr>
              <w:pStyle w:val="null3"/>
            </w:pPr>
            <w:r>
              <w:rPr>
                <w:rFonts w:ascii="仿宋_GB2312" w:hAnsi="仿宋_GB2312" w:cs="仿宋_GB2312" w:eastAsia="仿宋_GB2312"/>
              </w:rPr>
              <w:t>根据供应商的服务能力进行综合评审，内容包括①资源整合与匹配能力②专业化服务水平③数字与信息化服务能力④活动组织与执行能力。 方案各项内容全面详细、阐述条理清晰、对评审内容中的各项要求有详细描述及说明得8分，每有一项缺项扣2分，每有一项内容存在一处缺陷扣0.5分，扣完为止。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6服务能力1.docx</w:t>
            </w:r>
          </w:p>
        </w:tc>
      </w:tr>
      <w:tr>
        <w:tc>
          <w:tcPr>
            <w:tcW w:type="dxa" w:w="831"/>
            <w:vMerge/>
          </w:tcPr>
          <w:p/>
        </w:tc>
        <w:tc>
          <w:tcPr>
            <w:tcW w:type="dxa" w:w="1661"/>
          </w:tcPr>
          <w:p>
            <w:pPr>
              <w:pStyle w:val="null3"/>
            </w:pPr>
            <w:r>
              <w:rPr>
                <w:rFonts w:ascii="仿宋_GB2312" w:hAnsi="仿宋_GB2312" w:cs="仿宋_GB2312" w:eastAsia="仿宋_GB2312"/>
              </w:rPr>
              <w:t>服务能力2</w:t>
            </w:r>
          </w:p>
        </w:tc>
        <w:tc>
          <w:tcPr>
            <w:tcW w:type="dxa" w:w="2492"/>
          </w:tcPr>
          <w:p>
            <w:pPr>
              <w:pStyle w:val="null3"/>
            </w:pPr>
            <w:r>
              <w:rPr>
                <w:rFonts w:ascii="仿宋_GB2312" w:hAnsi="仿宋_GB2312" w:cs="仿宋_GB2312" w:eastAsia="仿宋_GB2312"/>
              </w:rPr>
              <w:t>根据供应商提出有利于采购人降低会务成本及提高服务质量且切实可行措施承诺。 方案对评审内容中的要求有详细描述及说明得4分，内容存在一处缺陷扣1分，扣完为止。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7服务能力2.docx</w:t>
            </w:r>
          </w:p>
        </w:tc>
      </w:tr>
      <w:tr>
        <w:tc>
          <w:tcPr>
            <w:tcW w:type="dxa" w:w="831"/>
            <w:vMerge/>
          </w:tcPr>
          <w:p/>
        </w:tc>
        <w:tc>
          <w:tcPr>
            <w:tcW w:type="dxa" w:w="1661"/>
          </w:tcPr>
          <w:p>
            <w:pPr>
              <w:pStyle w:val="null3"/>
            </w:pPr>
            <w:r>
              <w:rPr>
                <w:rFonts w:ascii="仿宋_GB2312" w:hAnsi="仿宋_GB2312" w:cs="仿宋_GB2312" w:eastAsia="仿宋_GB2312"/>
              </w:rPr>
              <w:t>资源保障</w:t>
            </w:r>
          </w:p>
        </w:tc>
        <w:tc>
          <w:tcPr>
            <w:tcW w:type="dxa" w:w="2492"/>
          </w:tcPr>
          <w:p>
            <w:pPr>
              <w:pStyle w:val="null3"/>
            </w:pPr>
            <w:r>
              <w:rPr>
                <w:rFonts w:ascii="仿宋_GB2312" w:hAnsi="仿宋_GB2312" w:cs="仿宋_GB2312" w:eastAsia="仿宋_GB2312"/>
              </w:rPr>
              <w:t>根据供应商针对本项目提供的资源保障进行综合评审，内容包括①场地资源保障②人力配置保障③物料物资保障。 方案对评审内容中的各项要求有详细描述及说明得9分，每有一项缺项扣3分，每有一项内容存在一处缺陷扣1分，扣完为止。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8资源保障.docx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根据供应商针对本项目提供的应急预案进行综合评审，内容包括①应急组织框架②应急沟通机制及风险应对措施③应急响应与善后复盘。 方案对评审内容中的各项要求有详细描述及说明得6分，每有一项缺项扣2分，每有一项内容存在一处缺陷扣0.5分，扣完为止。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提供供应商2023年1月至今同类项目合同及验收资料（以合同签订日期为准），每提供1个得2分，最高得8分。 备注：响应文件中提供合同复印件加盖公章。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供应商针对本项目提出的有利于项目实施的其他服务承诺，经磋商小组认定每提供一条得1分，最高得3分。未提供不得分。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详见附件：服务响应与偏离表.docx</w:t>
      </w:r>
    </w:p>
    <w:p>
      <w:pPr>
        <w:pStyle w:val="null3"/>
        <w:ind w:firstLine="960"/>
      </w:pPr>
      <w:r>
        <w:rPr>
          <w:rFonts w:ascii="仿宋_GB2312" w:hAnsi="仿宋_GB2312" w:cs="仿宋_GB2312" w:eastAsia="仿宋_GB2312"/>
        </w:rPr>
        <w:t>详见附件：1项目理解.docx</w:t>
      </w:r>
    </w:p>
    <w:p>
      <w:pPr>
        <w:pStyle w:val="null3"/>
        <w:ind w:firstLine="960"/>
      </w:pPr>
      <w:r>
        <w:rPr>
          <w:rFonts w:ascii="仿宋_GB2312" w:hAnsi="仿宋_GB2312" w:cs="仿宋_GB2312" w:eastAsia="仿宋_GB2312"/>
        </w:rPr>
        <w:t>详见附件：2总体设计.docx</w:t>
      </w:r>
    </w:p>
    <w:p>
      <w:pPr>
        <w:pStyle w:val="null3"/>
        <w:ind w:firstLine="960"/>
      </w:pPr>
      <w:r>
        <w:rPr>
          <w:rFonts w:ascii="仿宋_GB2312" w:hAnsi="仿宋_GB2312" w:cs="仿宋_GB2312" w:eastAsia="仿宋_GB2312"/>
        </w:rPr>
        <w:t>详见附件：3服务方案.docx</w:t>
      </w:r>
    </w:p>
    <w:p>
      <w:pPr>
        <w:pStyle w:val="null3"/>
        <w:ind w:firstLine="960"/>
      </w:pPr>
      <w:r>
        <w:rPr>
          <w:rFonts w:ascii="仿宋_GB2312" w:hAnsi="仿宋_GB2312" w:cs="仿宋_GB2312" w:eastAsia="仿宋_GB2312"/>
        </w:rPr>
        <w:t>详见附件：4项目负责人.docx</w:t>
      </w:r>
    </w:p>
    <w:p>
      <w:pPr>
        <w:pStyle w:val="null3"/>
        <w:ind w:firstLine="960"/>
      </w:pPr>
      <w:r>
        <w:rPr>
          <w:rFonts w:ascii="仿宋_GB2312" w:hAnsi="仿宋_GB2312" w:cs="仿宋_GB2312" w:eastAsia="仿宋_GB2312"/>
        </w:rPr>
        <w:t>详见附件：5团队人员.docx</w:t>
      </w:r>
    </w:p>
    <w:p>
      <w:pPr>
        <w:pStyle w:val="null3"/>
        <w:ind w:firstLine="960"/>
      </w:pPr>
      <w:r>
        <w:rPr>
          <w:rFonts w:ascii="仿宋_GB2312" w:hAnsi="仿宋_GB2312" w:cs="仿宋_GB2312" w:eastAsia="仿宋_GB2312"/>
        </w:rPr>
        <w:t>详见附件：6服务能力1.docx</w:t>
      </w:r>
    </w:p>
    <w:p>
      <w:pPr>
        <w:pStyle w:val="null3"/>
        <w:ind w:firstLine="960"/>
      </w:pPr>
      <w:r>
        <w:rPr>
          <w:rFonts w:ascii="仿宋_GB2312" w:hAnsi="仿宋_GB2312" w:cs="仿宋_GB2312" w:eastAsia="仿宋_GB2312"/>
        </w:rPr>
        <w:t>详见附件：7服务能力2.docx</w:t>
      </w:r>
    </w:p>
    <w:p>
      <w:pPr>
        <w:pStyle w:val="null3"/>
        <w:ind w:firstLine="960"/>
      </w:pPr>
      <w:r>
        <w:rPr>
          <w:rFonts w:ascii="仿宋_GB2312" w:hAnsi="仿宋_GB2312" w:cs="仿宋_GB2312" w:eastAsia="仿宋_GB2312"/>
        </w:rPr>
        <w:t>详见附件：8资源保障.docx</w:t>
      </w:r>
    </w:p>
    <w:p>
      <w:pPr>
        <w:pStyle w:val="null3"/>
        <w:ind w:firstLine="960"/>
      </w:pPr>
      <w:r>
        <w:rPr>
          <w:rFonts w:ascii="仿宋_GB2312" w:hAnsi="仿宋_GB2312" w:cs="仿宋_GB2312" w:eastAsia="仿宋_GB2312"/>
        </w:rPr>
        <w:t>详见附件：9应急预案.docx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详见附件：11服务承诺.docx</w:t>
      </w:r>
    </w:p>
    <w:p>
      <w:pPr>
        <w:pStyle w:val="null3"/>
        <w:ind w:firstLine="960"/>
      </w:pPr>
      <w:r>
        <w:rPr>
          <w:rFonts w:ascii="仿宋_GB2312" w:hAnsi="仿宋_GB2312" w:cs="仿宋_GB2312" w:eastAsia="仿宋_GB2312"/>
        </w:rPr>
        <w:t>详见附件：12其他资料.docx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