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版本号：ZX2026-03-1320260326001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2026年西安市春、秋季组团赴外访企拓岗活动采购项目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ZX2026-03-13</w:t>
      </w:r>
      <w:r>
        <w:br/>
      </w:r>
      <w:r>
        <w:br/>
      </w:r>
      <w:r>
        <w:br/>
      </w:r>
    </w:p>
    <w:p>
      <w:pPr>
        <w:pStyle w:val="null3"/>
        <w:jc w:val="center"/>
        <w:outlineLvl w:val="2"/>
      </w:pPr>
      <w:r>
        <w:rPr>
          <w:rFonts w:ascii="仿宋_GB2312" w:hAnsi="仿宋_GB2312" w:cs="仿宋_GB2312" w:eastAsia="仿宋_GB2312"/>
          <w:sz w:val="28"/>
          <w:b/>
        </w:rPr>
        <w:t>西安市人才服务中心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西安市人才服务中心</w:t>
      </w:r>
      <w:r>
        <w:rPr>
          <w:rFonts w:ascii="仿宋_GB2312" w:hAnsi="仿宋_GB2312" w:cs="仿宋_GB2312" w:eastAsia="仿宋_GB2312"/>
        </w:rPr>
        <w:t>委托，拟对</w:t>
      </w:r>
      <w:r>
        <w:rPr>
          <w:rFonts w:ascii="仿宋_GB2312" w:hAnsi="仿宋_GB2312" w:cs="仿宋_GB2312" w:eastAsia="仿宋_GB2312"/>
        </w:rPr>
        <w:t>2026年西安市春、秋季组团赴外访企拓岗活动采购项目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2026年西安市春、秋季组团赴外访企拓岗活动采购项目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2026年西安市春、秋季组团赴外访企拓岗活动采购项目，1项，具体内容详见磋商文件第三章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采购包1（2026年西安市春、秋季组团赴外访企拓岗活动采购项目）：属于专门面向中小企业采购。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西安市人才服务中心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029-88360286-8104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西安市人才服务中心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西安市人才服务中心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西安市人才服务中心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祁鑫</w:t>
      </w:r>
    </w:p>
    <w:p>
      <w:pPr>
        <w:pStyle w:val="null3"/>
      </w:pPr>
      <w:r>
        <w:rPr>
          <w:rFonts w:ascii="仿宋_GB2312" w:hAnsi="仿宋_GB2312" w:cs="仿宋_GB2312" w:eastAsia="仿宋_GB2312"/>
        </w:rPr>
        <w:t>联系电话：029-88110800转8032（邮箱号：438904813@qq.com）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2026年西安市春、秋季组团赴外访企拓岗活动采购项目。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2026年西安市春秋季组团赴外访企拓岗活动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标的名称：2026年西安市春秋季组团赴外访企拓岗活动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为搭建我市高校、技工院校智力资源与外地产业需求的对接桥梁，鼓励各类院校主动对接市场、融入产业，以校地合作、校企协同为抓手，通过“送出去”与“请进来”双向路径促成供需精准匹配，实现培育成果价值最大化，计划开展2026年西安市春、秋季组团赴外访企拓岗活动，为保证活动顺利进行，特制定方案如下：</w:t>
            </w:r>
          </w:p>
          <w:p>
            <w:pPr>
              <w:pStyle w:val="null3"/>
            </w:pPr>
            <w:r>
              <w:rPr>
                <w:rFonts w:ascii="仿宋_GB2312" w:hAnsi="仿宋_GB2312" w:cs="仿宋_GB2312" w:eastAsia="仿宋_GB2312"/>
              </w:rPr>
              <w:t>一、活动主题</w:t>
            </w:r>
          </w:p>
          <w:p>
            <w:pPr>
              <w:pStyle w:val="null3"/>
            </w:pPr>
            <w:r>
              <w:rPr>
                <w:rFonts w:ascii="仿宋_GB2312" w:hAnsi="仿宋_GB2312" w:cs="仿宋_GB2312" w:eastAsia="仿宋_GB2312"/>
              </w:rPr>
              <w:t>长安荐才 智通四海</w:t>
            </w:r>
          </w:p>
          <w:p>
            <w:pPr>
              <w:pStyle w:val="null3"/>
            </w:pPr>
            <w:r>
              <w:rPr>
                <w:rFonts w:ascii="仿宋_GB2312" w:hAnsi="仿宋_GB2312" w:cs="仿宋_GB2312" w:eastAsia="仿宋_GB2312"/>
              </w:rPr>
              <w:t>——2026年西安市春、秋季组团赴外访企拓岗活动</w:t>
            </w:r>
          </w:p>
          <w:p>
            <w:pPr>
              <w:pStyle w:val="null3"/>
            </w:pPr>
            <w:r>
              <w:rPr>
                <w:rFonts w:ascii="仿宋_GB2312" w:hAnsi="仿宋_GB2312" w:cs="仿宋_GB2312" w:eastAsia="仿宋_GB2312"/>
              </w:rPr>
              <w:t>二、组织机构</w:t>
            </w:r>
          </w:p>
          <w:p>
            <w:pPr>
              <w:pStyle w:val="null3"/>
            </w:pPr>
            <w:r>
              <w:rPr>
                <w:rFonts w:ascii="仿宋_GB2312" w:hAnsi="仿宋_GB2312" w:cs="仿宋_GB2312" w:eastAsia="仿宋_GB2312"/>
              </w:rPr>
              <w:t>主办单位：西安市人力资源和社会保障局</w:t>
            </w:r>
          </w:p>
          <w:p>
            <w:pPr>
              <w:pStyle w:val="null3"/>
            </w:pPr>
            <w:r>
              <w:rPr>
                <w:rFonts w:ascii="仿宋_GB2312" w:hAnsi="仿宋_GB2312" w:cs="仿宋_GB2312" w:eastAsia="仿宋_GB2312"/>
              </w:rPr>
              <w:t>承办单位：西安市人才服务中心</w:t>
            </w:r>
          </w:p>
          <w:p>
            <w:pPr>
              <w:pStyle w:val="null3"/>
            </w:pPr>
            <w:r>
              <w:rPr>
                <w:rFonts w:ascii="仿宋_GB2312" w:hAnsi="仿宋_GB2312" w:cs="仿宋_GB2312" w:eastAsia="仿宋_GB2312"/>
              </w:rPr>
              <w:t>西安地区各高校、技工院校</w:t>
            </w:r>
          </w:p>
          <w:p>
            <w:pPr>
              <w:pStyle w:val="null3"/>
            </w:pPr>
            <w:r>
              <w:rPr>
                <w:rFonts w:ascii="仿宋_GB2312" w:hAnsi="仿宋_GB2312" w:cs="仿宋_GB2312" w:eastAsia="仿宋_GB2312"/>
              </w:rPr>
              <w:t>三、参会对象</w:t>
            </w:r>
          </w:p>
          <w:p>
            <w:pPr>
              <w:pStyle w:val="null3"/>
            </w:pPr>
            <w:r>
              <w:rPr>
                <w:rFonts w:ascii="仿宋_GB2312" w:hAnsi="仿宋_GB2312" w:cs="仿宋_GB2312" w:eastAsia="仿宋_GB2312"/>
              </w:rPr>
              <w:t>（一）西安地区具有较强专业输出能力、学科优势突出的高等院校及技工院校。</w:t>
            </w:r>
          </w:p>
          <w:p>
            <w:pPr>
              <w:pStyle w:val="null3"/>
            </w:pPr>
            <w:r>
              <w:rPr>
                <w:rFonts w:ascii="仿宋_GB2312" w:hAnsi="仿宋_GB2312" w:cs="仿宋_GB2312" w:eastAsia="仿宋_GB2312"/>
              </w:rPr>
              <w:t>（二）产业资源集聚地区的优质企业。</w:t>
            </w:r>
          </w:p>
          <w:p>
            <w:pPr>
              <w:pStyle w:val="null3"/>
            </w:pPr>
            <w:r>
              <w:rPr>
                <w:rFonts w:ascii="仿宋_GB2312" w:hAnsi="仿宋_GB2312" w:cs="仿宋_GB2312" w:eastAsia="仿宋_GB2312"/>
              </w:rPr>
              <w:t>四、活动安排</w:t>
            </w:r>
          </w:p>
          <w:p>
            <w:pPr>
              <w:pStyle w:val="null3"/>
            </w:pPr>
            <w:r>
              <w:rPr>
                <w:rFonts w:ascii="仿宋_GB2312" w:hAnsi="仿宋_GB2312" w:cs="仿宋_GB2312" w:eastAsia="仿宋_GB2312"/>
              </w:rPr>
              <w:t>（一）举办2026年西安市春季组团赴外访企拓岗活动（2场）</w:t>
            </w:r>
          </w:p>
          <w:p>
            <w:pPr>
              <w:pStyle w:val="null3"/>
            </w:pPr>
            <w:r>
              <w:rPr>
                <w:rFonts w:ascii="仿宋_GB2312" w:hAnsi="仿宋_GB2312" w:cs="仿宋_GB2312" w:eastAsia="仿宋_GB2312"/>
              </w:rPr>
              <w:t>聚焦目标地区产业园区发展需求与西安高校、技工院校智力资源供给优势，计划2026年5—6月组织西安地区20余所院校，赴广州、深圳开展春季组团赴外访企拓岗活动，通过“院校组团+园区联动”模式，搭建精准对接平台。</w:t>
            </w:r>
          </w:p>
          <w:p>
            <w:pPr>
              <w:pStyle w:val="null3"/>
            </w:pPr>
            <w:r>
              <w:rPr>
                <w:rFonts w:ascii="仿宋_GB2312" w:hAnsi="仿宋_GB2312" w:cs="仿宋_GB2312" w:eastAsia="仿宋_GB2312"/>
              </w:rPr>
              <w:t>1.西安“校荐企联”产才资源发布活动。创新采用“校方推荐、供需对洽”模式。现场发布西安高校及技工院校优质毕业生推荐名单，涵盖重点学科骨干学子与特色专业优秀学子;同步邀请穗深重点企业参与，搭建校企面对面精准对接平台，促进西安科教资源与东部产业优势互补。</w:t>
            </w:r>
          </w:p>
          <w:p>
            <w:pPr>
              <w:pStyle w:val="null3"/>
            </w:pPr>
            <w:r>
              <w:rPr>
                <w:rFonts w:ascii="仿宋_GB2312" w:hAnsi="仿宋_GB2312" w:cs="仿宋_GB2312" w:eastAsia="仿宋_GB2312"/>
              </w:rPr>
              <w:t>2.企业参访。坚持“走出去”与“请进来”相结合，一方面组织西安地区高校、技工院校负责人走进穗深龙头企业、专精特新企业及重点科创企业，实地考察生产运营、技术研发、产品创新及培育体系建设情况；另一方面归集穗深重点企业优质岗位资源，搭建跨区域供需对接渠道，惠及本地院校毕业生，提升活动实效。</w:t>
            </w:r>
          </w:p>
          <w:p>
            <w:pPr>
              <w:pStyle w:val="null3"/>
            </w:pPr>
            <w:r>
              <w:rPr>
                <w:rFonts w:ascii="仿宋_GB2312" w:hAnsi="仿宋_GB2312" w:cs="仿宋_GB2312" w:eastAsia="仿宋_GB2312"/>
              </w:rPr>
              <w:t>3.高校宣介。集中展示高校、技工院校优势学科、特色专业及各领域应届毕业生培育成果与科研成果，推动穗深产业园区相关企业充分掌握院校培育资源优势。推动西安高校、技工院校与穗深企业建立长期合作机制，充分发挥西安院校集聚优势。</w:t>
            </w:r>
          </w:p>
          <w:p>
            <w:pPr>
              <w:pStyle w:val="null3"/>
            </w:pPr>
            <w:r>
              <w:rPr>
                <w:rFonts w:ascii="仿宋_GB2312" w:hAnsi="仿宋_GB2312" w:cs="仿宋_GB2312" w:eastAsia="仿宋_GB2312"/>
              </w:rPr>
              <w:t>（二）举办2026年西安市秋季组团赴外访企拓岗活动（2场）</w:t>
            </w:r>
          </w:p>
          <w:p>
            <w:pPr>
              <w:pStyle w:val="null3"/>
            </w:pPr>
            <w:r>
              <w:rPr>
                <w:rFonts w:ascii="仿宋_GB2312" w:hAnsi="仿宋_GB2312" w:cs="仿宋_GB2312" w:eastAsia="仿宋_GB2312"/>
              </w:rPr>
              <w:t>延续春季访企拓岗成效，计划2026年10—11月组织西安地区20余所院校，赴苏州、宁波开展秋季组团赴外访企拓岗活动，深化与华南地区产业高地的校企合作。</w:t>
            </w:r>
          </w:p>
          <w:p>
            <w:pPr>
              <w:pStyle w:val="null3"/>
            </w:pPr>
            <w:r>
              <w:rPr>
                <w:rFonts w:ascii="仿宋_GB2312" w:hAnsi="仿宋_GB2312" w:cs="仿宋_GB2312" w:eastAsia="仿宋_GB2312"/>
              </w:rPr>
              <w:t>1.西安“校荐企联”产才资源发布活动。聚焦校企协同发展核心需求，打造“优才输出+产需对接”模式。西安高校、技工院校立足本校学科特色与育人优势，发布优质毕业生推荐名单，精准推介骨干学子与拔尖学子；园区企业结合发展实际搭建高效对接平台，助力毕业生高质量就业，为区域协同发展创新开辟新路径。</w:t>
            </w:r>
          </w:p>
          <w:p>
            <w:pPr>
              <w:pStyle w:val="null3"/>
            </w:pPr>
            <w:r>
              <w:rPr>
                <w:rFonts w:ascii="仿宋_GB2312" w:hAnsi="仿宋_GB2312" w:cs="仿宋_GB2312" w:eastAsia="仿宋_GB2312"/>
              </w:rPr>
              <w:t>2.企业参访。组织西安地区高校及技工院校负责人走进苏州、宁波行业领军、高新技术及产业创新型企业。通过生产线观摩、研发实验室探访、核心岗位体验等形式，近距离感受当地企业生产运营与技术创新实况；同步梳理整合苏州、宁波重点企业岗位信息，推动优质岗位资源惠及西安院校毕业生，深化跨区域产教融合与资源协作。</w:t>
            </w:r>
          </w:p>
          <w:p>
            <w:pPr>
              <w:pStyle w:val="null3"/>
            </w:pPr>
            <w:r>
              <w:rPr>
                <w:rFonts w:ascii="仿宋_GB2312" w:hAnsi="仿宋_GB2312" w:cs="仿宋_GB2312" w:eastAsia="仿宋_GB2312"/>
              </w:rPr>
              <w:t>3.高校宣介。邀请西安高校、技工院校代表，围绕本校学科建设成果、教育培养特色及毕业生核心优势等内容进行专项宣讲，助力苏州、宁波园区企业全面了解西安院校优质智力资源。</w:t>
            </w:r>
          </w:p>
          <w:p>
            <w:pPr>
              <w:pStyle w:val="null3"/>
            </w:pPr>
            <w:r>
              <w:rPr>
                <w:rFonts w:ascii="仿宋_GB2312" w:hAnsi="仿宋_GB2312" w:cs="仿宋_GB2312" w:eastAsia="仿宋_GB2312"/>
              </w:rPr>
              <w:t>五、工作措施</w:t>
            </w:r>
          </w:p>
          <w:p>
            <w:pPr>
              <w:pStyle w:val="null3"/>
            </w:pPr>
            <w:r>
              <w:rPr>
                <w:rFonts w:ascii="仿宋_GB2312" w:hAnsi="仿宋_GB2312" w:cs="仿宋_GB2312" w:eastAsia="仿宋_GB2312"/>
              </w:rPr>
              <w:t>（一）前期调研</w:t>
            </w:r>
          </w:p>
          <w:p>
            <w:pPr>
              <w:pStyle w:val="null3"/>
            </w:pPr>
            <w:r>
              <w:rPr>
                <w:rFonts w:ascii="仿宋_GB2312" w:hAnsi="仿宋_GB2312" w:cs="仿宋_GB2312" w:eastAsia="仿宋_GB2312"/>
              </w:rPr>
              <w:t>调研目标地区产业园区、重点企业的发展需求与技术合作意向，摸排西安各高校及技工院校智力资源储备、学科优势与合作意愿，精准掌握供需诉求，科学规划流程，提升对接精准度。</w:t>
            </w:r>
          </w:p>
          <w:p>
            <w:pPr>
              <w:pStyle w:val="null3"/>
            </w:pPr>
            <w:r>
              <w:rPr>
                <w:rFonts w:ascii="仿宋_GB2312" w:hAnsi="仿宋_GB2312" w:cs="仿宋_GB2312" w:eastAsia="仿宋_GB2312"/>
              </w:rPr>
              <w:t>（二）活动宣传</w:t>
            </w:r>
          </w:p>
          <w:p>
            <w:pPr>
              <w:pStyle w:val="null3"/>
            </w:pPr>
            <w:r>
              <w:rPr>
                <w:rFonts w:ascii="仿宋_GB2312" w:hAnsi="仿宋_GB2312" w:cs="仿宋_GB2312" w:eastAsia="仿宋_GB2312"/>
              </w:rPr>
              <w:t>邀约省市媒体全程跟踪报道组团赴外访企拓岗活动，提前1个月协调当地主流媒体开展专题预热宣传，通过新闻通稿、短讯预告、产业资讯推送等形式跟踪宣传活动，精准触达当地产业园区优质企业群体；提前1周依托目标地区产业园区官方平台、企业服务群、行业协会渠道及企业服务中心线下公告端口等载体，开展多维度、立体化宣传推介，扩大活动覆盖面，吸引优质企业参与，提升活动参与度和影响力。</w:t>
            </w:r>
          </w:p>
          <w:tbl>
            <w:tblPr>
              <w:tblBorders>
                <w:top w:val="single"/>
                <w:left w:val="single"/>
                <w:bottom w:val="single"/>
                <w:right w:val="single"/>
                <w:insideH w:val="single"/>
                <w:insideV w:val="single"/>
              </w:tblBorders>
            </w:tblPr>
            <w:tblGrid>
              <w:gridCol w:w="319"/>
              <w:gridCol w:w="319"/>
              <w:gridCol w:w="319"/>
              <w:gridCol w:w="319"/>
              <w:gridCol w:w="319"/>
              <w:gridCol w:w="319"/>
              <w:gridCol w:w="319"/>
              <w:gridCol w:w="319"/>
            </w:tblGrid>
            <w:tr>
              <w:tc>
                <w:tcPr>
                  <w:tcW w:type="dxa" w:w="319"/>
                </w:tcPr>
                <w:p>
                  <w:pPr>
                    <w:pStyle w:val="null3"/>
                  </w:pPr>
                  <w:r>
                    <w:rPr>
                      <w:rFonts w:ascii="仿宋_GB2312" w:hAnsi="仿宋_GB2312" w:cs="仿宋_GB2312" w:eastAsia="仿宋_GB2312"/>
                    </w:rPr>
                    <w:t>序号</w:t>
                  </w:r>
                </w:p>
              </w:tc>
              <w:tc>
                <w:tcPr>
                  <w:tcW w:type="dxa" w:w="319"/>
                </w:tcPr>
                <w:p>
                  <w:pPr>
                    <w:pStyle w:val="null3"/>
                  </w:pPr>
                  <w:r>
                    <w:rPr>
                      <w:rFonts w:ascii="仿宋_GB2312" w:hAnsi="仿宋_GB2312" w:cs="仿宋_GB2312" w:eastAsia="仿宋_GB2312"/>
                    </w:rPr>
                    <w:t>活动名称</w:t>
                  </w:r>
                </w:p>
              </w:tc>
              <w:tc>
                <w:tcPr>
                  <w:tcW w:type="dxa" w:w="638"/>
                  <w:gridSpan w:val="2"/>
                </w:tcPr>
                <w:p>
                  <w:pPr>
                    <w:pStyle w:val="null3"/>
                  </w:pPr>
                  <w:r>
                    <w:rPr>
                      <w:rFonts w:ascii="仿宋_GB2312" w:hAnsi="仿宋_GB2312" w:cs="仿宋_GB2312" w:eastAsia="仿宋_GB2312"/>
                    </w:rPr>
                    <w:t>项目</w:t>
                  </w:r>
                </w:p>
              </w:tc>
              <w:tc>
                <w:tcPr>
                  <w:tcW w:type="dxa" w:w="319"/>
                </w:tcPr>
                <w:p>
                  <w:pPr>
                    <w:pStyle w:val="null3"/>
                  </w:pPr>
                  <w:r>
                    <w:rPr>
                      <w:rFonts w:ascii="仿宋_GB2312" w:hAnsi="仿宋_GB2312" w:cs="仿宋_GB2312" w:eastAsia="仿宋_GB2312"/>
                    </w:rPr>
                    <w:t>规格</w:t>
                  </w:r>
                </w:p>
              </w:tc>
              <w:tc>
                <w:tcPr>
                  <w:tcW w:type="dxa" w:w="319"/>
                </w:tcPr>
                <w:p>
                  <w:pPr>
                    <w:pStyle w:val="null3"/>
                  </w:pPr>
                  <w:r>
                    <w:rPr>
                      <w:rFonts w:ascii="仿宋_GB2312" w:hAnsi="仿宋_GB2312" w:cs="仿宋_GB2312" w:eastAsia="仿宋_GB2312"/>
                    </w:rPr>
                    <w:t>数量</w:t>
                  </w:r>
                </w:p>
              </w:tc>
              <w:tc>
                <w:tcPr>
                  <w:tcW w:type="dxa" w:w="319"/>
                </w:tcPr>
                <w:p>
                  <w:pPr>
                    <w:pStyle w:val="null3"/>
                  </w:pPr>
                  <w:r>
                    <w:rPr>
                      <w:rFonts w:ascii="仿宋_GB2312" w:hAnsi="仿宋_GB2312" w:cs="仿宋_GB2312" w:eastAsia="仿宋_GB2312"/>
                    </w:rPr>
                    <w:t>单位</w:t>
                  </w:r>
                </w:p>
              </w:tc>
              <w:tc>
                <w:tcPr>
                  <w:tcW w:type="dxa" w:w="319"/>
                </w:tcPr>
                <w:p>
                  <w:pPr>
                    <w:pStyle w:val="null3"/>
                  </w:pPr>
                  <w:r>
                    <w:rPr>
                      <w:rFonts w:ascii="仿宋_GB2312" w:hAnsi="仿宋_GB2312" w:cs="仿宋_GB2312" w:eastAsia="仿宋_GB2312"/>
                    </w:rPr>
                    <w:t>周期/场</w:t>
                  </w:r>
                </w:p>
              </w:tc>
            </w:tr>
            <w:tr>
              <w:tc>
                <w:tcPr>
                  <w:tcW w:type="dxa" w:w="319"/>
                </w:tcPr>
                <w:p>
                  <w:pPr>
                    <w:pStyle w:val="null3"/>
                  </w:pPr>
                  <w:r>
                    <w:rPr>
                      <w:rFonts w:ascii="仿宋_GB2312" w:hAnsi="仿宋_GB2312" w:cs="仿宋_GB2312" w:eastAsia="仿宋_GB2312"/>
                    </w:rPr>
                    <w:t>1</w:t>
                  </w:r>
                </w:p>
              </w:tc>
              <w:tc>
                <w:tcPr>
                  <w:tcW w:type="dxa" w:w="319"/>
                  <w:vMerge w:val="restart"/>
                </w:tcPr>
                <w:p>
                  <w:pPr>
                    <w:pStyle w:val="null3"/>
                  </w:pPr>
                  <w:r>
                    <w:rPr>
                      <w:rFonts w:ascii="仿宋_GB2312" w:hAnsi="仿宋_GB2312" w:cs="仿宋_GB2312" w:eastAsia="仿宋_GB2312"/>
                    </w:rPr>
                    <w:t>2026年西安市春季组团赴外访企拓岗活动（2场）</w:t>
                  </w:r>
                </w:p>
              </w:tc>
              <w:tc>
                <w:tcPr>
                  <w:tcW w:type="dxa" w:w="319"/>
                  <w:vMerge w:val="restart"/>
                </w:tcPr>
                <w:p>
                  <w:pPr>
                    <w:pStyle w:val="null3"/>
                  </w:pPr>
                  <w:r>
                    <w:rPr>
                      <w:rFonts w:ascii="仿宋_GB2312" w:hAnsi="仿宋_GB2312" w:cs="仿宋_GB2312" w:eastAsia="仿宋_GB2312"/>
                    </w:rPr>
                    <w:t>产才资源发布活动（2场）</w:t>
                  </w:r>
                </w:p>
              </w:tc>
              <w:tc>
                <w:tcPr>
                  <w:tcW w:type="dxa" w:w="319"/>
                </w:tcPr>
                <w:p>
                  <w:pPr>
                    <w:pStyle w:val="null3"/>
                  </w:pPr>
                  <w:r>
                    <w:rPr>
                      <w:rFonts w:ascii="仿宋_GB2312" w:hAnsi="仿宋_GB2312" w:cs="仿宋_GB2312" w:eastAsia="仿宋_GB2312"/>
                    </w:rPr>
                    <w:t>活动主K及其他物料设计</w:t>
                  </w:r>
                </w:p>
              </w:tc>
              <w:tc>
                <w:tcPr>
                  <w:tcW w:type="dxa" w:w="319"/>
                </w:tcPr>
                <w:p>
                  <w:pPr>
                    <w:pStyle w:val="null3"/>
                  </w:pPr>
                  <w:r>
                    <w:rPr>
                      <w:rFonts w:ascii="仿宋_GB2312" w:hAnsi="仿宋_GB2312" w:cs="仿宋_GB2312" w:eastAsia="仿宋_GB2312"/>
                    </w:rPr>
                    <w:t>春季整体活动主视觉、桁架、小物料、发布活动高校简介、各类宣传海报、PPT等设计</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tcPr>
                <w:p>
                  <w:pPr>
                    <w:pStyle w:val="null3"/>
                  </w:pPr>
                  <w:r>
                    <w:rPr>
                      <w:rFonts w:ascii="仿宋_GB2312" w:hAnsi="仿宋_GB2312" w:cs="仿宋_GB2312" w:eastAsia="仿宋_GB2312"/>
                    </w:rPr>
                    <w:t>2</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场地租用</w:t>
                  </w:r>
                </w:p>
              </w:tc>
              <w:tc>
                <w:tcPr>
                  <w:tcW w:type="dxa" w:w="319"/>
                </w:tcPr>
                <w:p>
                  <w:pPr>
                    <w:pStyle w:val="null3"/>
                  </w:pPr>
                  <w:r>
                    <w:rPr>
                      <w:rFonts w:ascii="仿宋_GB2312" w:hAnsi="仿宋_GB2312" w:cs="仿宋_GB2312" w:eastAsia="仿宋_GB2312"/>
                    </w:rPr>
                    <w:t>发布活动场地—当地酒店会议厅</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3</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演讲台</w:t>
                  </w:r>
                </w:p>
                <w:p>
                  <w:pPr>
                    <w:pStyle w:val="null3"/>
                  </w:pPr>
                  <w:r>
                    <w:rPr>
                      <w:rFonts w:ascii="仿宋_GB2312" w:hAnsi="仿宋_GB2312" w:cs="仿宋_GB2312" w:eastAsia="仿宋_GB2312"/>
                    </w:rPr>
                    <w:t>包装</w:t>
                  </w:r>
                </w:p>
              </w:tc>
              <w:tc>
                <w:tcPr>
                  <w:tcW w:type="dxa" w:w="319"/>
                </w:tcPr>
                <w:p>
                  <w:pPr>
                    <w:pStyle w:val="null3"/>
                  </w:pPr>
                  <w:r>
                    <w:rPr>
                      <w:rFonts w:ascii="仿宋_GB2312" w:hAnsi="仿宋_GB2312" w:cs="仿宋_GB2312" w:eastAsia="仿宋_GB2312"/>
                    </w:rPr>
                    <w:t>三面KT板整体内开槽包装</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4</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暖场视频</w:t>
                  </w:r>
                </w:p>
              </w:tc>
              <w:tc>
                <w:tcPr>
                  <w:tcW w:type="dxa" w:w="319"/>
                </w:tcPr>
                <w:p>
                  <w:pPr>
                    <w:pStyle w:val="null3"/>
                  </w:pPr>
                  <w:r>
                    <w:rPr>
                      <w:rFonts w:ascii="仿宋_GB2312" w:hAnsi="仿宋_GB2312" w:cs="仿宋_GB2312" w:eastAsia="仿宋_GB2312"/>
                    </w:rPr>
                    <w:t>拍摄+剪辑</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tcPr>
                <w:p>
                  <w:pPr>
                    <w:pStyle w:val="null3"/>
                  </w:pPr>
                  <w:r>
                    <w:rPr>
                      <w:rFonts w:ascii="仿宋_GB2312" w:hAnsi="仿宋_GB2312" w:cs="仿宋_GB2312" w:eastAsia="仿宋_GB2312"/>
                    </w:rPr>
                    <w:t>5</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主持人</w:t>
                  </w:r>
                </w:p>
              </w:tc>
              <w:tc>
                <w:tcPr>
                  <w:tcW w:type="dxa" w:w="319"/>
                </w:tcPr>
                <w:p>
                  <w:pPr>
                    <w:pStyle w:val="null3"/>
                  </w:pPr>
                  <w:r>
                    <w:rPr>
                      <w:rFonts w:ascii="仿宋_GB2312" w:hAnsi="仿宋_GB2312" w:cs="仿宋_GB2312" w:eastAsia="仿宋_GB2312"/>
                    </w:rPr>
                    <w:t>/</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人</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6</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签到处</w:t>
                  </w:r>
                </w:p>
                <w:p>
                  <w:pPr>
                    <w:pStyle w:val="null3"/>
                  </w:pPr>
                  <w:r>
                    <w:rPr>
                      <w:rFonts w:ascii="仿宋_GB2312" w:hAnsi="仿宋_GB2312" w:cs="仿宋_GB2312" w:eastAsia="仿宋_GB2312"/>
                    </w:rPr>
                    <w:t>桁架</w:t>
                  </w:r>
                </w:p>
              </w:tc>
              <w:tc>
                <w:tcPr>
                  <w:tcW w:type="dxa" w:w="319"/>
                </w:tcPr>
                <w:p>
                  <w:pPr>
                    <w:pStyle w:val="null3"/>
                  </w:pPr>
                  <w:r>
                    <w:rPr>
                      <w:rFonts w:ascii="仿宋_GB2312" w:hAnsi="仿宋_GB2312" w:cs="仿宋_GB2312" w:eastAsia="仿宋_GB2312"/>
                    </w:rPr>
                    <w:t>桁架+遮光布喷绘8*4*2m,内置配重</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7</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桌椅租赁</w:t>
                  </w:r>
                </w:p>
              </w:tc>
              <w:tc>
                <w:tcPr>
                  <w:tcW w:type="dxa" w:w="319"/>
                </w:tcPr>
                <w:p>
                  <w:pPr>
                    <w:pStyle w:val="null3"/>
                  </w:pPr>
                  <w:r>
                    <w:rPr>
                      <w:rFonts w:ascii="仿宋_GB2312" w:hAnsi="仿宋_GB2312" w:cs="仿宋_GB2312" w:eastAsia="仿宋_GB2312"/>
                    </w:rPr>
                    <w:t>洽谈小圆桌，配套桌布，一桌配四椅</w:t>
                  </w:r>
                </w:p>
              </w:tc>
              <w:tc>
                <w:tcPr>
                  <w:tcW w:type="dxa" w:w="319"/>
                </w:tcPr>
                <w:p>
                  <w:pPr>
                    <w:pStyle w:val="null3"/>
                  </w:pPr>
                  <w:r>
                    <w:rPr>
                      <w:rFonts w:ascii="仿宋_GB2312" w:hAnsi="仿宋_GB2312" w:cs="仿宋_GB2312" w:eastAsia="仿宋_GB2312"/>
                    </w:rPr>
                    <w:t>25</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8</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立式桌卡</w:t>
                  </w:r>
                </w:p>
              </w:tc>
              <w:tc>
                <w:tcPr>
                  <w:tcW w:type="dxa" w:w="319"/>
                </w:tcPr>
                <w:p>
                  <w:pPr>
                    <w:pStyle w:val="null3"/>
                  </w:pPr>
                  <w:r>
                    <w:rPr>
                      <w:rFonts w:ascii="仿宋_GB2312" w:hAnsi="仿宋_GB2312" w:cs="仿宋_GB2312" w:eastAsia="仿宋_GB2312"/>
                    </w:rPr>
                    <w:t>A4铜版纸双面彩印</w:t>
                  </w:r>
                </w:p>
              </w:tc>
              <w:tc>
                <w:tcPr>
                  <w:tcW w:type="dxa" w:w="319"/>
                </w:tcPr>
                <w:p>
                  <w:pPr>
                    <w:pStyle w:val="null3"/>
                  </w:pPr>
                  <w:r>
                    <w:rPr>
                      <w:rFonts w:ascii="仿宋_GB2312" w:hAnsi="仿宋_GB2312" w:cs="仿宋_GB2312" w:eastAsia="仿宋_GB2312"/>
                    </w:rPr>
                    <w:t>25</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9</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高校信息册</w:t>
                  </w:r>
                </w:p>
              </w:tc>
              <w:tc>
                <w:tcPr>
                  <w:tcW w:type="dxa" w:w="319"/>
                </w:tcPr>
                <w:p>
                  <w:pPr>
                    <w:pStyle w:val="null3"/>
                  </w:pPr>
                  <w:r>
                    <w:rPr>
                      <w:rFonts w:ascii="仿宋_GB2312" w:hAnsi="仿宋_GB2312" w:cs="仿宋_GB2312" w:eastAsia="仿宋_GB2312"/>
                    </w:rPr>
                    <w:t>/</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10</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门型展架</w:t>
                  </w:r>
                </w:p>
              </w:tc>
              <w:tc>
                <w:tcPr>
                  <w:tcW w:type="dxa" w:w="319"/>
                </w:tcPr>
                <w:p>
                  <w:pPr>
                    <w:pStyle w:val="null3"/>
                  </w:pPr>
                  <w:r>
                    <w:rPr>
                      <w:rFonts w:ascii="仿宋_GB2312" w:hAnsi="仿宋_GB2312" w:cs="仿宋_GB2312" w:eastAsia="仿宋_GB2312"/>
                    </w:rPr>
                    <w:t>金属展架200cm*85cm（含指引及出入口）</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11</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全流程PPT制作</w:t>
                  </w:r>
                </w:p>
              </w:tc>
              <w:tc>
                <w:tcPr>
                  <w:tcW w:type="dxa" w:w="319"/>
                </w:tcPr>
                <w:p>
                  <w:pPr>
                    <w:pStyle w:val="null3"/>
                  </w:pPr>
                  <w:r>
                    <w:rPr>
                      <w:rFonts w:ascii="仿宋_GB2312" w:hAnsi="仿宋_GB2312" w:cs="仿宋_GB2312" w:eastAsia="仿宋_GB2312"/>
                    </w:rPr>
                    <w:t>/</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12</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参会证</w:t>
                  </w:r>
                </w:p>
                <w:p>
                  <w:pPr>
                    <w:pStyle w:val="null3"/>
                  </w:pPr>
                  <w:r>
                    <w:rPr>
                      <w:rFonts w:ascii="仿宋_GB2312" w:hAnsi="仿宋_GB2312" w:cs="仿宋_GB2312" w:eastAsia="仿宋_GB2312"/>
                    </w:rPr>
                    <w:t>内芯</w:t>
                  </w:r>
                </w:p>
              </w:tc>
              <w:tc>
                <w:tcPr>
                  <w:tcW w:type="dxa" w:w="319"/>
                </w:tcPr>
                <w:p>
                  <w:pPr>
                    <w:pStyle w:val="null3"/>
                  </w:pPr>
                  <w:r>
                    <w:rPr>
                      <w:rFonts w:ascii="仿宋_GB2312" w:hAnsi="仿宋_GB2312" w:cs="仿宋_GB2312" w:eastAsia="仿宋_GB2312"/>
                    </w:rPr>
                    <w:t>双面铜版纸</w:t>
                  </w:r>
                </w:p>
              </w:tc>
              <w:tc>
                <w:tcPr>
                  <w:tcW w:type="dxa" w:w="319"/>
                </w:tcPr>
                <w:p>
                  <w:pPr>
                    <w:pStyle w:val="null3"/>
                  </w:pPr>
                  <w:r>
                    <w:rPr>
                      <w:rFonts w:ascii="仿宋_GB2312" w:hAnsi="仿宋_GB2312" w:cs="仿宋_GB2312" w:eastAsia="仿宋_GB2312"/>
                    </w:rPr>
                    <w:t>70</w:t>
                  </w:r>
                </w:p>
              </w:tc>
              <w:tc>
                <w:tcPr>
                  <w:tcW w:type="dxa" w:w="319"/>
                </w:tcPr>
                <w:p>
                  <w:pPr>
                    <w:pStyle w:val="null3"/>
                  </w:pPr>
                  <w:r>
                    <w:rPr>
                      <w:rFonts w:ascii="仿宋_GB2312" w:hAnsi="仿宋_GB2312" w:cs="仿宋_GB2312" w:eastAsia="仿宋_GB2312"/>
                    </w:rPr>
                    <w:t>份</w:t>
                  </w:r>
                </w:p>
              </w:tc>
              <w:tc>
                <w:tcPr>
                  <w:tcW w:type="dxa" w:w="319"/>
                </w:tcPr>
                <w:p>
                  <w:pPr>
                    <w:pStyle w:val="null3"/>
                  </w:pPr>
                  <w:r>
                    <w:rPr>
                      <w:rFonts w:ascii="仿宋_GB2312" w:hAnsi="仿宋_GB2312" w:cs="仿宋_GB2312" w:eastAsia="仿宋_GB2312"/>
                    </w:rPr>
                    <w:t>1</w:t>
                  </w:r>
                </w:p>
              </w:tc>
            </w:tr>
            <w:tr>
              <w:tc>
                <w:tcPr>
                  <w:tcW w:type="dxa" w:w="319"/>
                </w:tcPr>
                <w:p>
                  <w:pPr>
                    <w:pStyle w:val="null3"/>
                  </w:pPr>
                  <w:r>
                    <w:rPr>
                      <w:rFonts w:ascii="仿宋_GB2312" w:hAnsi="仿宋_GB2312" w:cs="仿宋_GB2312" w:eastAsia="仿宋_GB2312"/>
                    </w:rPr>
                    <w:t>13</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横幅</w:t>
                  </w:r>
                </w:p>
              </w:tc>
              <w:tc>
                <w:tcPr>
                  <w:tcW w:type="dxa" w:w="319"/>
                </w:tcPr>
                <w:p>
                  <w:pPr>
                    <w:pStyle w:val="null3"/>
                  </w:pPr>
                  <w:r>
                    <w:rPr>
                      <w:rFonts w:ascii="仿宋_GB2312" w:hAnsi="仿宋_GB2312" w:cs="仿宋_GB2312" w:eastAsia="仿宋_GB2312"/>
                    </w:rPr>
                    <w:t>15m 旗帜布</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条</w:t>
                  </w:r>
                </w:p>
              </w:tc>
              <w:tc>
                <w:tcPr>
                  <w:tcW w:type="dxa" w:w="319"/>
                </w:tcPr>
                <w:p>
                  <w:pPr>
                    <w:pStyle w:val="null3"/>
                  </w:pPr>
                  <w:r>
                    <w:rPr>
                      <w:rFonts w:ascii="仿宋_GB2312" w:hAnsi="仿宋_GB2312" w:cs="仿宋_GB2312" w:eastAsia="仿宋_GB2312"/>
                    </w:rPr>
                    <w:t>1</w:t>
                  </w:r>
                </w:p>
              </w:tc>
            </w:tr>
            <w:tr>
              <w:tc>
                <w:tcPr>
                  <w:tcW w:type="dxa" w:w="319"/>
                </w:tcPr>
                <w:p>
                  <w:pPr>
                    <w:pStyle w:val="null3"/>
                  </w:pPr>
                  <w:r>
                    <w:rPr>
                      <w:rFonts w:ascii="仿宋_GB2312" w:hAnsi="仿宋_GB2312" w:cs="仿宋_GB2312" w:eastAsia="仿宋_GB2312"/>
                    </w:rPr>
                    <w:t>14</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签字笔</w:t>
                  </w:r>
                </w:p>
              </w:tc>
              <w:tc>
                <w:tcPr>
                  <w:tcW w:type="dxa" w:w="319"/>
                </w:tcPr>
                <w:p>
                  <w:pPr>
                    <w:pStyle w:val="null3"/>
                  </w:pPr>
                  <w:r>
                    <w:rPr>
                      <w:rFonts w:ascii="仿宋_GB2312" w:hAnsi="仿宋_GB2312" w:cs="仿宋_GB2312" w:eastAsia="仿宋_GB2312"/>
                    </w:rPr>
                    <w:t>/</w:t>
                  </w:r>
                </w:p>
              </w:tc>
              <w:tc>
                <w:tcPr>
                  <w:tcW w:type="dxa" w:w="319"/>
                </w:tcPr>
                <w:p>
                  <w:pPr>
                    <w:pStyle w:val="null3"/>
                  </w:pPr>
                  <w:r>
                    <w:rPr>
                      <w:rFonts w:ascii="仿宋_GB2312" w:hAnsi="仿宋_GB2312" w:cs="仿宋_GB2312" w:eastAsia="仿宋_GB2312"/>
                    </w:rPr>
                    <w:t>70</w:t>
                  </w:r>
                </w:p>
              </w:tc>
              <w:tc>
                <w:tcPr>
                  <w:tcW w:type="dxa" w:w="319"/>
                </w:tcPr>
                <w:p>
                  <w:pPr>
                    <w:pStyle w:val="null3"/>
                  </w:pPr>
                  <w:r>
                    <w:rPr>
                      <w:rFonts w:ascii="仿宋_GB2312" w:hAnsi="仿宋_GB2312" w:cs="仿宋_GB2312" w:eastAsia="仿宋_GB2312"/>
                    </w:rPr>
                    <w:t>支</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15</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饮用水</w:t>
                  </w:r>
                </w:p>
              </w:tc>
              <w:tc>
                <w:tcPr>
                  <w:tcW w:type="dxa" w:w="319"/>
                </w:tcPr>
                <w:p>
                  <w:pPr>
                    <w:pStyle w:val="null3"/>
                  </w:pPr>
                  <w:r>
                    <w:rPr>
                      <w:rFonts w:ascii="仿宋_GB2312" w:hAnsi="仿宋_GB2312" w:cs="仿宋_GB2312" w:eastAsia="仿宋_GB2312"/>
                    </w:rPr>
                    <w:t>标准饮用水（3箱）</w:t>
                  </w:r>
                </w:p>
              </w:tc>
              <w:tc>
                <w:tcPr>
                  <w:tcW w:type="dxa" w:w="319"/>
                </w:tcPr>
                <w:p>
                  <w:pPr>
                    <w:pStyle w:val="null3"/>
                  </w:pPr>
                  <w:r>
                    <w:rPr>
                      <w:rFonts w:ascii="仿宋_GB2312" w:hAnsi="仿宋_GB2312" w:cs="仿宋_GB2312" w:eastAsia="仿宋_GB2312"/>
                    </w:rPr>
                    <w:t>72</w:t>
                  </w:r>
                </w:p>
              </w:tc>
              <w:tc>
                <w:tcPr>
                  <w:tcW w:type="dxa" w:w="319"/>
                </w:tcPr>
                <w:p>
                  <w:pPr>
                    <w:pStyle w:val="null3"/>
                  </w:pPr>
                  <w:r>
                    <w:rPr>
                      <w:rFonts w:ascii="仿宋_GB2312" w:hAnsi="仿宋_GB2312" w:cs="仿宋_GB2312" w:eastAsia="仿宋_GB2312"/>
                    </w:rPr>
                    <w:t>瓶</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16</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茶歇</w:t>
                  </w:r>
                </w:p>
              </w:tc>
              <w:tc>
                <w:tcPr>
                  <w:tcW w:type="dxa" w:w="319"/>
                </w:tcPr>
                <w:p>
                  <w:pPr>
                    <w:pStyle w:val="null3"/>
                  </w:pPr>
                  <w:r>
                    <w:rPr>
                      <w:rFonts w:ascii="仿宋_GB2312" w:hAnsi="仿宋_GB2312" w:cs="仿宋_GB2312" w:eastAsia="仿宋_GB2312"/>
                    </w:rPr>
                    <w:t>以实际情况为准</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17</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西安特色宣传品</w:t>
                  </w:r>
                </w:p>
              </w:tc>
              <w:tc>
                <w:tcPr>
                  <w:tcW w:type="dxa" w:w="319"/>
                </w:tcPr>
                <w:p>
                  <w:pPr>
                    <w:pStyle w:val="null3"/>
                  </w:pPr>
                  <w:r>
                    <w:rPr>
                      <w:rFonts w:ascii="仿宋_GB2312" w:hAnsi="仿宋_GB2312" w:cs="仿宋_GB2312" w:eastAsia="仿宋_GB2312"/>
                    </w:rPr>
                    <w:t>西安文化、城市形象为核心的文创类宣传品</w:t>
                  </w:r>
                </w:p>
              </w:tc>
              <w:tc>
                <w:tcPr>
                  <w:tcW w:type="dxa" w:w="319"/>
                </w:tcPr>
                <w:p>
                  <w:pPr>
                    <w:pStyle w:val="null3"/>
                  </w:pPr>
                  <w:r>
                    <w:rPr>
                      <w:rFonts w:ascii="仿宋_GB2312" w:hAnsi="仿宋_GB2312" w:cs="仿宋_GB2312" w:eastAsia="仿宋_GB2312"/>
                    </w:rPr>
                    <w:t>100</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18</w:t>
                  </w:r>
                </w:p>
              </w:tc>
              <w:tc>
                <w:tcPr>
                  <w:tcW w:type="dxa" w:w="319"/>
                  <w:vMerge/>
                </w:tcPr>
                <w:p/>
              </w:tc>
              <w:tc>
                <w:tcPr>
                  <w:tcW w:type="dxa" w:w="319"/>
                  <w:vMerge w:val="restart"/>
                </w:tcPr>
                <w:p>
                  <w:pPr>
                    <w:pStyle w:val="null3"/>
                  </w:pPr>
                  <w:r>
                    <w:rPr>
                      <w:rFonts w:ascii="仿宋_GB2312" w:hAnsi="仿宋_GB2312" w:cs="仿宋_GB2312" w:eastAsia="仿宋_GB2312"/>
                    </w:rPr>
                    <w:t>企业参访</w:t>
                  </w:r>
                </w:p>
              </w:tc>
              <w:tc>
                <w:tcPr>
                  <w:tcW w:type="dxa" w:w="319"/>
                </w:tcPr>
                <w:p>
                  <w:pPr>
                    <w:pStyle w:val="null3"/>
                  </w:pPr>
                  <w:r>
                    <w:rPr>
                      <w:rFonts w:ascii="仿宋_GB2312" w:hAnsi="仿宋_GB2312" w:cs="仿宋_GB2312" w:eastAsia="仿宋_GB2312"/>
                    </w:rPr>
                    <w:t>横幅</w:t>
                  </w:r>
                </w:p>
              </w:tc>
              <w:tc>
                <w:tcPr>
                  <w:tcW w:type="dxa" w:w="319"/>
                </w:tcPr>
                <w:p>
                  <w:pPr>
                    <w:pStyle w:val="null3"/>
                  </w:pPr>
                  <w:r>
                    <w:rPr>
                      <w:rFonts w:ascii="仿宋_GB2312" w:hAnsi="仿宋_GB2312" w:cs="仿宋_GB2312" w:eastAsia="仿宋_GB2312"/>
                    </w:rPr>
                    <w:t>15m 旗帜布</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tcPr>
                <w:p>
                  <w:pPr>
                    <w:pStyle w:val="null3"/>
                  </w:pPr>
                  <w:r>
                    <w:rPr>
                      <w:rFonts w:ascii="仿宋_GB2312" w:hAnsi="仿宋_GB2312" w:cs="仿宋_GB2312" w:eastAsia="仿宋_GB2312"/>
                    </w:rPr>
                    <w:t>19</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活动行程单</w:t>
                  </w:r>
                </w:p>
              </w:tc>
              <w:tc>
                <w:tcPr>
                  <w:tcW w:type="dxa" w:w="319"/>
                </w:tcPr>
                <w:p>
                  <w:pPr>
                    <w:pStyle w:val="null3"/>
                  </w:pPr>
                  <w:r>
                    <w:rPr>
                      <w:rFonts w:ascii="仿宋_GB2312" w:hAnsi="仿宋_GB2312" w:cs="仿宋_GB2312" w:eastAsia="仿宋_GB2312"/>
                    </w:rPr>
                    <w:t>三折页加厚铜版纸印刷</w:t>
                  </w:r>
                  <w:r>
                    <w:br/>
                  </w:r>
                  <w:r>
                    <w:rPr>
                      <w:rFonts w:ascii="仿宋_GB2312" w:hAnsi="仿宋_GB2312" w:cs="仿宋_GB2312" w:eastAsia="仿宋_GB2312"/>
                    </w:rPr>
                    <w:t xml:space="preserve"> （活动行程、参访单位简介）</w:t>
                  </w:r>
                </w:p>
              </w:tc>
              <w:tc>
                <w:tcPr>
                  <w:tcW w:type="dxa" w:w="319"/>
                </w:tcPr>
                <w:p>
                  <w:pPr>
                    <w:pStyle w:val="null3"/>
                  </w:pPr>
                  <w:r>
                    <w:rPr>
                      <w:rFonts w:ascii="仿宋_GB2312" w:hAnsi="仿宋_GB2312" w:cs="仿宋_GB2312" w:eastAsia="仿宋_GB2312"/>
                    </w:rPr>
                    <w:t>30</w:t>
                  </w:r>
                </w:p>
              </w:tc>
              <w:tc>
                <w:tcPr>
                  <w:tcW w:type="dxa" w:w="319"/>
                </w:tcPr>
                <w:p>
                  <w:pPr>
                    <w:pStyle w:val="null3"/>
                  </w:pPr>
                  <w:r>
                    <w:rPr>
                      <w:rFonts w:ascii="仿宋_GB2312" w:hAnsi="仿宋_GB2312" w:cs="仿宋_GB2312" w:eastAsia="仿宋_GB2312"/>
                    </w:rPr>
                    <w:t>份</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20</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饮用水</w:t>
                  </w:r>
                </w:p>
              </w:tc>
              <w:tc>
                <w:tcPr>
                  <w:tcW w:type="dxa" w:w="319"/>
                </w:tcPr>
                <w:p>
                  <w:pPr>
                    <w:pStyle w:val="null3"/>
                  </w:pPr>
                  <w:r>
                    <w:rPr>
                      <w:rFonts w:ascii="仿宋_GB2312" w:hAnsi="仿宋_GB2312" w:cs="仿宋_GB2312" w:eastAsia="仿宋_GB2312"/>
                    </w:rPr>
                    <w:t>标准饮用水（3箱）</w:t>
                  </w:r>
                </w:p>
              </w:tc>
              <w:tc>
                <w:tcPr>
                  <w:tcW w:type="dxa" w:w="319"/>
                </w:tcPr>
                <w:p>
                  <w:pPr>
                    <w:pStyle w:val="null3"/>
                  </w:pPr>
                  <w:r>
                    <w:rPr>
                      <w:rFonts w:ascii="仿宋_GB2312" w:hAnsi="仿宋_GB2312" w:cs="仿宋_GB2312" w:eastAsia="仿宋_GB2312"/>
                    </w:rPr>
                    <w:t>72</w:t>
                  </w:r>
                </w:p>
              </w:tc>
              <w:tc>
                <w:tcPr>
                  <w:tcW w:type="dxa" w:w="319"/>
                </w:tcPr>
                <w:p>
                  <w:pPr>
                    <w:pStyle w:val="null3"/>
                  </w:pPr>
                  <w:r>
                    <w:rPr>
                      <w:rFonts w:ascii="仿宋_GB2312" w:hAnsi="仿宋_GB2312" w:cs="仿宋_GB2312" w:eastAsia="仿宋_GB2312"/>
                    </w:rPr>
                    <w:t>瓶</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21</w:t>
                  </w:r>
                </w:p>
              </w:tc>
              <w:tc>
                <w:tcPr>
                  <w:tcW w:type="dxa" w:w="319"/>
                  <w:vMerge/>
                </w:tcPr>
                <w:p/>
              </w:tc>
              <w:tc>
                <w:tcPr>
                  <w:tcW w:type="dxa" w:w="319"/>
                  <w:vMerge w:val="restart"/>
                </w:tcPr>
                <w:p>
                  <w:pPr>
                    <w:pStyle w:val="null3"/>
                  </w:pPr>
                  <w:r>
                    <w:rPr>
                      <w:rFonts w:ascii="仿宋_GB2312" w:hAnsi="仿宋_GB2312" w:cs="仿宋_GB2312" w:eastAsia="仿宋_GB2312"/>
                    </w:rPr>
                    <w:t>高校宣介</w:t>
                  </w:r>
                </w:p>
              </w:tc>
              <w:tc>
                <w:tcPr>
                  <w:tcW w:type="dxa" w:w="319"/>
                </w:tcPr>
                <w:p>
                  <w:pPr>
                    <w:pStyle w:val="null3"/>
                  </w:pPr>
                  <w:r>
                    <w:rPr>
                      <w:rFonts w:ascii="仿宋_GB2312" w:hAnsi="仿宋_GB2312" w:cs="仿宋_GB2312" w:eastAsia="仿宋_GB2312"/>
                    </w:rPr>
                    <w:t>场地租用</w:t>
                  </w:r>
                </w:p>
              </w:tc>
              <w:tc>
                <w:tcPr>
                  <w:tcW w:type="dxa" w:w="319"/>
                </w:tcPr>
                <w:p>
                  <w:pPr>
                    <w:pStyle w:val="null3"/>
                  </w:pPr>
                  <w:r>
                    <w:rPr>
                      <w:rFonts w:ascii="仿宋_GB2312" w:hAnsi="仿宋_GB2312" w:cs="仿宋_GB2312" w:eastAsia="仿宋_GB2312"/>
                    </w:rPr>
                    <w:t>宣讲会场地-产业园区</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22</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主视觉桁架</w:t>
                  </w:r>
                </w:p>
              </w:tc>
              <w:tc>
                <w:tcPr>
                  <w:tcW w:type="dxa" w:w="319"/>
                </w:tcPr>
                <w:p>
                  <w:pPr>
                    <w:pStyle w:val="null3"/>
                  </w:pPr>
                  <w:r>
                    <w:rPr>
                      <w:rFonts w:ascii="仿宋_GB2312" w:hAnsi="仿宋_GB2312" w:cs="仿宋_GB2312" w:eastAsia="仿宋_GB2312"/>
                    </w:rPr>
                    <w:t>桁架+遮光布喷绘8*4*2m,内置配重</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23</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门型展架</w:t>
                  </w:r>
                </w:p>
              </w:tc>
              <w:tc>
                <w:tcPr>
                  <w:tcW w:type="dxa" w:w="319"/>
                </w:tcPr>
                <w:p>
                  <w:pPr>
                    <w:pStyle w:val="null3"/>
                  </w:pPr>
                  <w:r>
                    <w:rPr>
                      <w:rFonts w:ascii="仿宋_GB2312" w:hAnsi="仿宋_GB2312" w:cs="仿宋_GB2312" w:eastAsia="仿宋_GB2312"/>
                    </w:rPr>
                    <w:t>金属展架200cm*85cm（含指引及高校简介）</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24</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演讲台包装</w:t>
                  </w:r>
                </w:p>
              </w:tc>
              <w:tc>
                <w:tcPr>
                  <w:tcW w:type="dxa" w:w="319"/>
                </w:tcPr>
                <w:p>
                  <w:pPr>
                    <w:pStyle w:val="null3"/>
                  </w:pPr>
                  <w:r>
                    <w:rPr>
                      <w:rFonts w:ascii="仿宋_GB2312" w:hAnsi="仿宋_GB2312" w:cs="仿宋_GB2312" w:eastAsia="仿宋_GB2312"/>
                    </w:rPr>
                    <w:t>三面KT板整体内开槽包装</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25</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桌卡</w:t>
                  </w:r>
                </w:p>
              </w:tc>
              <w:tc>
                <w:tcPr>
                  <w:tcW w:type="dxa" w:w="319"/>
                </w:tcPr>
                <w:p>
                  <w:pPr>
                    <w:pStyle w:val="null3"/>
                  </w:pPr>
                  <w:r>
                    <w:rPr>
                      <w:rFonts w:ascii="仿宋_GB2312" w:hAnsi="仿宋_GB2312" w:cs="仿宋_GB2312" w:eastAsia="仿宋_GB2312"/>
                    </w:rPr>
                    <w:t>250g粉纸</w:t>
                  </w:r>
                </w:p>
              </w:tc>
              <w:tc>
                <w:tcPr>
                  <w:tcW w:type="dxa" w:w="319"/>
                </w:tcPr>
                <w:p>
                  <w:pPr>
                    <w:pStyle w:val="null3"/>
                  </w:pPr>
                  <w:r>
                    <w:rPr>
                      <w:rFonts w:ascii="仿宋_GB2312" w:hAnsi="仿宋_GB2312" w:cs="仿宋_GB2312" w:eastAsia="仿宋_GB2312"/>
                    </w:rPr>
                    <w:t>15</w:t>
                  </w:r>
                </w:p>
              </w:tc>
              <w:tc>
                <w:tcPr>
                  <w:tcW w:type="dxa" w:w="319"/>
                </w:tcPr>
                <w:p>
                  <w:pPr>
                    <w:pStyle w:val="null3"/>
                  </w:pPr>
                  <w:r>
                    <w:rPr>
                      <w:rFonts w:ascii="仿宋_GB2312" w:hAnsi="仿宋_GB2312" w:cs="仿宋_GB2312" w:eastAsia="仿宋_GB2312"/>
                    </w:rPr>
                    <w:t>张</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26</w:t>
                  </w:r>
                </w:p>
              </w:tc>
              <w:tc>
                <w:tcPr>
                  <w:tcW w:type="dxa" w:w="319"/>
                  <w:vMerge/>
                </w:tcPr>
                <w:p/>
              </w:tc>
              <w:tc>
                <w:tcPr>
                  <w:tcW w:type="dxa" w:w="638"/>
                  <w:gridSpan w:val="2"/>
                  <w:vMerge w:val="restart"/>
                </w:tcPr>
                <w:p>
                  <w:pPr>
                    <w:pStyle w:val="null3"/>
                  </w:pPr>
                  <w:r>
                    <w:rPr>
                      <w:rFonts w:ascii="仿宋_GB2312" w:hAnsi="仿宋_GB2312" w:cs="仿宋_GB2312" w:eastAsia="仿宋_GB2312"/>
                    </w:rPr>
                    <w:t>地方车辆租赁</w:t>
                  </w:r>
                </w:p>
              </w:tc>
              <w:tc>
                <w:tcPr>
                  <w:tcW w:type="dxa" w:w="319"/>
                </w:tcPr>
                <w:p>
                  <w:pPr>
                    <w:pStyle w:val="null3"/>
                  </w:pPr>
                  <w:r>
                    <w:rPr>
                      <w:rFonts w:ascii="仿宋_GB2312" w:hAnsi="仿宋_GB2312" w:cs="仿宋_GB2312" w:eastAsia="仿宋_GB2312"/>
                    </w:rPr>
                    <w:t>11座商务车（含司机）</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辆</w:t>
                  </w:r>
                </w:p>
              </w:tc>
              <w:tc>
                <w:tcPr>
                  <w:tcW w:type="dxa" w:w="319"/>
                </w:tcPr>
                <w:p>
                  <w:pPr>
                    <w:pStyle w:val="null3"/>
                  </w:pPr>
                  <w:r>
                    <w:rPr>
                      <w:rFonts w:ascii="仿宋_GB2312" w:hAnsi="仿宋_GB2312" w:cs="仿宋_GB2312" w:eastAsia="仿宋_GB2312"/>
                    </w:rPr>
                    <w:t>5</w:t>
                  </w:r>
                </w:p>
              </w:tc>
            </w:tr>
            <w:tr>
              <w:tc>
                <w:tcPr>
                  <w:tcW w:type="dxa" w:w="319"/>
                </w:tcPr>
                <w:p>
                  <w:pPr>
                    <w:pStyle w:val="null3"/>
                  </w:pPr>
                  <w:r>
                    <w:rPr>
                      <w:rFonts w:ascii="仿宋_GB2312" w:hAnsi="仿宋_GB2312" w:cs="仿宋_GB2312" w:eastAsia="仿宋_GB2312"/>
                    </w:rPr>
                    <w:t>27</w:t>
                  </w:r>
                </w:p>
              </w:tc>
              <w:tc>
                <w:tcPr>
                  <w:tcW w:type="dxa" w:w="319"/>
                  <w:vMerge/>
                </w:tcPr>
                <w:p/>
              </w:tc>
              <w:tc>
                <w:tcPr>
                  <w:tcW w:type="dxa" w:w="638"/>
                  <w:gridSpan w:val="2"/>
                  <w:vMerge/>
                </w:tcPr>
                <w:p/>
              </w:tc>
              <w:tc>
                <w:tcPr>
                  <w:tcW w:type="dxa" w:w="319"/>
                </w:tcPr>
                <w:p>
                  <w:pPr>
                    <w:pStyle w:val="null3"/>
                  </w:pPr>
                  <w:r>
                    <w:rPr>
                      <w:rFonts w:ascii="仿宋_GB2312" w:hAnsi="仿宋_GB2312" w:cs="仿宋_GB2312" w:eastAsia="仿宋_GB2312"/>
                    </w:rPr>
                    <w:t>37座大巴（含司机）</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辆</w:t>
                  </w:r>
                </w:p>
              </w:tc>
              <w:tc>
                <w:tcPr>
                  <w:tcW w:type="dxa" w:w="319"/>
                </w:tcPr>
                <w:p>
                  <w:pPr>
                    <w:pStyle w:val="null3"/>
                  </w:pPr>
                  <w:r>
                    <w:rPr>
                      <w:rFonts w:ascii="仿宋_GB2312" w:hAnsi="仿宋_GB2312" w:cs="仿宋_GB2312" w:eastAsia="仿宋_GB2312"/>
                    </w:rPr>
                    <w:t>5</w:t>
                  </w:r>
                </w:p>
              </w:tc>
            </w:tr>
            <w:tr>
              <w:tc>
                <w:tcPr>
                  <w:tcW w:type="dxa" w:w="319"/>
                </w:tcPr>
                <w:p>
                  <w:pPr>
                    <w:pStyle w:val="null3"/>
                  </w:pPr>
                  <w:r>
                    <w:rPr>
                      <w:rFonts w:ascii="仿宋_GB2312" w:hAnsi="仿宋_GB2312" w:cs="仿宋_GB2312" w:eastAsia="仿宋_GB2312"/>
                    </w:rPr>
                    <w:t>28</w:t>
                  </w:r>
                </w:p>
              </w:tc>
              <w:tc>
                <w:tcPr>
                  <w:tcW w:type="dxa" w:w="319"/>
                  <w:vMerge/>
                </w:tcPr>
                <w:p/>
              </w:tc>
              <w:tc>
                <w:tcPr>
                  <w:tcW w:type="dxa" w:w="638"/>
                  <w:gridSpan w:val="2"/>
                </w:tcPr>
                <w:p>
                  <w:pPr>
                    <w:pStyle w:val="null3"/>
                  </w:pPr>
                  <w:r>
                    <w:rPr>
                      <w:rFonts w:ascii="仿宋_GB2312" w:hAnsi="仿宋_GB2312" w:cs="仿宋_GB2312" w:eastAsia="仿宋_GB2312"/>
                    </w:rPr>
                    <w:t>工作人员交通食宿费</w:t>
                  </w:r>
                </w:p>
              </w:tc>
              <w:tc>
                <w:tcPr>
                  <w:tcW w:type="dxa" w:w="1276"/>
                  <w:gridSpan w:val="4"/>
                </w:tcPr>
                <w:p>
                  <w:pPr>
                    <w:pStyle w:val="null3"/>
                  </w:pPr>
                  <w:r>
                    <w:rPr>
                      <w:rFonts w:ascii="仿宋_GB2312" w:hAnsi="仿宋_GB2312" w:cs="仿宋_GB2312" w:eastAsia="仿宋_GB2312"/>
                    </w:rPr>
                    <w:t>本次计划5人赴产业资源密集地区开展活动，活动过程交通方式以高铁动车为主，如遇两地间距离过远，考虑到实际交通便捷经济性，将参考航班交通，就餐及食宿参考财政规定工作人员标准执行</w:t>
                  </w:r>
                </w:p>
              </w:tc>
            </w:tr>
            <w:tr>
              <w:tc>
                <w:tcPr>
                  <w:tcW w:type="dxa" w:w="319"/>
                </w:tcPr>
                <w:p>
                  <w:pPr>
                    <w:pStyle w:val="null3"/>
                  </w:pPr>
                  <w:r>
                    <w:rPr>
                      <w:rFonts w:ascii="仿宋_GB2312" w:hAnsi="仿宋_GB2312" w:cs="仿宋_GB2312" w:eastAsia="仿宋_GB2312"/>
                    </w:rPr>
                    <w:t>29</w:t>
                  </w:r>
                </w:p>
              </w:tc>
              <w:tc>
                <w:tcPr>
                  <w:tcW w:type="dxa" w:w="319"/>
                  <w:vMerge/>
                </w:tcPr>
                <w:p/>
              </w:tc>
              <w:tc>
                <w:tcPr>
                  <w:tcW w:type="dxa" w:w="638"/>
                  <w:gridSpan w:val="2"/>
                </w:tcPr>
                <w:p>
                  <w:pPr>
                    <w:pStyle w:val="null3"/>
                  </w:pPr>
                  <w:r>
                    <w:rPr>
                      <w:rFonts w:ascii="仿宋_GB2312" w:hAnsi="仿宋_GB2312" w:cs="仿宋_GB2312" w:eastAsia="仿宋_GB2312"/>
                    </w:rPr>
                    <w:t>高校交通食宿费</w:t>
                  </w:r>
                </w:p>
              </w:tc>
              <w:tc>
                <w:tcPr>
                  <w:tcW w:type="dxa" w:w="1276"/>
                  <w:gridSpan w:val="4"/>
                </w:tcPr>
                <w:p>
                  <w:pPr>
                    <w:pStyle w:val="null3"/>
                  </w:pPr>
                  <w:r>
                    <w:rPr>
                      <w:rFonts w:ascii="仿宋_GB2312" w:hAnsi="仿宋_GB2312" w:cs="仿宋_GB2312" w:eastAsia="仿宋_GB2312"/>
                    </w:rPr>
                    <w:t>本次计划邀约20所西安高校赴产业资源密集地区开展活动，活动过程交通方式以高铁动车为主，如遇两地间距离过远，考虑到实际交通便捷经济性，将参考航班交通，就餐及食宿参考财政规定工作人员标准执行（每单位负担1人）</w:t>
                  </w:r>
                </w:p>
              </w:tc>
            </w:tr>
            <w:tr>
              <w:tc>
                <w:tcPr>
                  <w:tcW w:type="dxa" w:w="319"/>
                </w:tcPr>
                <w:p>
                  <w:pPr>
                    <w:pStyle w:val="null3"/>
                  </w:pPr>
                  <w:r>
                    <w:rPr>
                      <w:rFonts w:ascii="仿宋_GB2312" w:hAnsi="仿宋_GB2312" w:cs="仿宋_GB2312" w:eastAsia="仿宋_GB2312"/>
                    </w:rPr>
                    <w:t>30</w:t>
                  </w:r>
                </w:p>
              </w:tc>
              <w:tc>
                <w:tcPr>
                  <w:tcW w:type="dxa" w:w="319"/>
                  <w:vMerge/>
                </w:tcPr>
                <w:p/>
              </w:tc>
              <w:tc>
                <w:tcPr>
                  <w:tcW w:type="dxa" w:w="638"/>
                  <w:gridSpan w:val="2"/>
                </w:tcPr>
                <w:p>
                  <w:pPr>
                    <w:pStyle w:val="null3"/>
                  </w:pPr>
                  <w:r>
                    <w:rPr>
                      <w:rFonts w:ascii="仿宋_GB2312" w:hAnsi="仿宋_GB2312" w:cs="仿宋_GB2312" w:eastAsia="仿宋_GB2312"/>
                    </w:rPr>
                    <w:t>活动宣传</w:t>
                  </w:r>
                </w:p>
              </w:tc>
              <w:tc>
                <w:tcPr>
                  <w:tcW w:type="dxa" w:w="319"/>
                </w:tcPr>
                <w:p>
                  <w:pPr>
                    <w:pStyle w:val="null3"/>
                  </w:pPr>
                  <w:r>
                    <w:rPr>
                      <w:rFonts w:ascii="仿宋_GB2312" w:hAnsi="仿宋_GB2312" w:cs="仿宋_GB2312" w:eastAsia="仿宋_GB2312"/>
                    </w:rPr>
                    <w:t>本地+外地知名媒体宣传（活动全程预告、图文预告、图文总结等）</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tcPr>
                <w:p>
                  <w:pPr>
                    <w:pStyle w:val="null3"/>
                  </w:pPr>
                  <w:r>
                    <w:rPr>
                      <w:rFonts w:ascii="仿宋_GB2312" w:hAnsi="仿宋_GB2312" w:cs="仿宋_GB2312" w:eastAsia="仿宋_GB2312"/>
                    </w:rPr>
                    <w:t>31</w:t>
                  </w:r>
                </w:p>
              </w:tc>
              <w:tc>
                <w:tcPr>
                  <w:tcW w:type="dxa" w:w="319"/>
                  <w:vMerge w:val="restart"/>
                </w:tcPr>
                <w:p>
                  <w:pPr>
                    <w:pStyle w:val="null3"/>
                  </w:pPr>
                  <w:r>
                    <w:rPr>
                      <w:rFonts w:ascii="仿宋_GB2312" w:hAnsi="仿宋_GB2312" w:cs="仿宋_GB2312" w:eastAsia="仿宋_GB2312"/>
                    </w:rPr>
                    <w:t>2026年西安市秋季组团赴外访企拓岗活动（2场）</w:t>
                  </w:r>
                </w:p>
              </w:tc>
              <w:tc>
                <w:tcPr>
                  <w:tcW w:type="dxa" w:w="319"/>
                  <w:vMerge w:val="restart"/>
                </w:tcPr>
                <w:p>
                  <w:pPr>
                    <w:pStyle w:val="null3"/>
                  </w:pPr>
                  <w:r>
                    <w:rPr>
                      <w:rFonts w:ascii="仿宋_GB2312" w:hAnsi="仿宋_GB2312" w:cs="仿宋_GB2312" w:eastAsia="仿宋_GB2312"/>
                    </w:rPr>
                    <w:t>产才资源发布活动（2场）</w:t>
                  </w:r>
                </w:p>
              </w:tc>
              <w:tc>
                <w:tcPr>
                  <w:tcW w:type="dxa" w:w="319"/>
                </w:tcPr>
                <w:p>
                  <w:pPr>
                    <w:pStyle w:val="null3"/>
                  </w:pPr>
                  <w:r>
                    <w:rPr>
                      <w:rFonts w:ascii="仿宋_GB2312" w:hAnsi="仿宋_GB2312" w:cs="仿宋_GB2312" w:eastAsia="仿宋_GB2312"/>
                    </w:rPr>
                    <w:t>活动主K及其他物料设计</w:t>
                  </w:r>
                </w:p>
              </w:tc>
              <w:tc>
                <w:tcPr>
                  <w:tcW w:type="dxa" w:w="319"/>
                </w:tcPr>
                <w:p>
                  <w:pPr>
                    <w:pStyle w:val="null3"/>
                  </w:pPr>
                  <w:r>
                    <w:rPr>
                      <w:rFonts w:ascii="仿宋_GB2312" w:hAnsi="仿宋_GB2312" w:cs="仿宋_GB2312" w:eastAsia="仿宋_GB2312"/>
                    </w:rPr>
                    <w:t>秋季整体活动主视觉、桁架、小物料、发布活动高校简介、各类宣传海报、PPT等设计</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tcPr>
                <w:p>
                  <w:pPr>
                    <w:pStyle w:val="null3"/>
                  </w:pPr>
                  <w:r>
                    <w:rPr>
                      <w:rFonts w:ascii="仿宋_GB2312" w:hAnsi="仿宋_GB2312" w:cs="仿宋_GB2312" w:eastAsia="仿宋_GB2312"/>
                    </w:rPr>
                    <w:t>32</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场地租用</w:t>
                  </w:r>
                </w:p>
              </w:tc>
              <w:tc>
                <w:tcPr>
                  <w:tcW w:type="dxa" w:w="319"/>
                </w:tcPr>
                <w:p>
                  <w:pPr>
                    <w:pStyle w:val="null3"/>
                  </w:pPr>
                  <w:r>
                    <w:rPr>
                      <w:rFonts w:ascii="仿宋_GB2312" w:hAnsi="仿宋_GB2312" w:cs="仿宋_GB2312" w:eastAsia="仿宋_GB2312"/>
                    </w:rPr>
                    <w:t>发布活动场地—当地酒店会议厅</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33</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演讲台包装</w:t>
                  </w:r>
                </w:p>
              </w:tc>
              <w:tc>
                <w:tcPr>
                  <w:tcW w:type="dxa" w:w="319"/>
                </w:tcPr>
                <w:p>
                  <w:pPr>
                    <w:pStyle w:val="null3"/>
                  </w:pPr>
                  <w:r>
                    <w:rPr>
                      <w:rFonts w:ascii="仿宋_GB2312" w:hAnsi="仿宋_GB2312" w:cs="仿宋_GB2312" w:eastAsia="仿宋_GB2312"/>
                    </w:rPr>
                    <w:t>三面KT板整体内开槽包装</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34</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暖场视频</w:t>
                  </w:r>
                </w:p>
              </w:tc>
              <w:tc>
                <w:tcPr>
                  <w:tcW w:type="dxa" w:w="319"/>
                </w:tcPr>
                <w:p>
                  <w:pPr>
                    <w:pStyle w:val="null3"/>
                  </w:pPr>
                  <w:r>
                    <w:rPr>
                      <w:rFonts w:ascii="仿宋_GB2312" w:hAnsi="仿宋_GB2312" w:cs="仿宋_GB2312" w:eastAsia="仿宋_GB2312"/>
                    </w:rPr>
                    <w:t>拍摄+剪辑</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tcPr>
                <w:p>
                  <w:pPr>
                    <w:pStyle w:val="null3"/>
                  </w:pPr>
                  <w:r>
                    <w:rPr>
                      <w:rFonts w:ascii="仿宋_GB2312" w:hAnsi="仿宋_GB2312" w:cs="仿宋_GB2312" w:eastAsia="仿宋_GB2312"/>
                    </w:rPr>
                    <w:t>35</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主持人</w:t>
                  </w:r>
                </w:p>
              </w:tc>
              <w:tc>
                <w:tcPr>
                  <w:tcW w:type="dxa" w:w="319"/>
                </w:tcPr>
                <w:p>
                  <w:pPr>
                    <w:pStyle w:val="null3"/>
                  </w:pPr>
                  <w:r>
                    <w:rPr>
                      <w:rFonts w:ascii="仿宋_GB2312" w:hAnsi="仿宋_GB2312" w:cs="仿宋_GB2312" w:eastAsia="仿宋_GB2312"/>
                    </w:rPr>
                    <w:t>/</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人</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36</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签到处桁架</w:t>
                  </w:r>
                </w:p>
              </w:tc>
              <w:tc>
                <w:tcPr>
                  <w:tcW w:type="dxa" w:w="319"/>
                </w:tcPr>
                <w:p>
                  <w:pPr>
                    <w:pStyle w:val="null3"/>
                  </w:pPr>
                  <w:r>
                    <w:rPr>
                      <w:rFonts w:ascii="仿宋_GB2312" w:hAnsi="仿宋_GB2312" w:cs="仿宋_GB2312" w:eastAsia="仿宋_GB2312"/>
                    </w:rPr>
                    <w:t>桁架+遮光布喷绘8*4*2m,内置配重</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37</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桌椅租赁</w:t>
                  </w:r>
                </w:p>
              </w:tc>
              <w:tc>
                <w:tcPr>
                  <w:tcW w:type="dxa" w:w="319"/>
                </w:tcPr>
                <w:p>
                  <w:pPr>
                    <w:pStyle w:val="null3"/>
                  </w:pPr>
                  <w:r>
                    <w:rPr>
                      <w:rFonts w:ascii="仿宋_GB2312" w:hAnsi="仿宋_GB2312" w:cs="仿宋_GB2312" w:eastAsia="仿宋_GB2312"/>
                    </w:rPr>
                    <w:t>洽谈小圆桌，配套桌布，一桌配四椅</w:t>
                  </w:r>
                </w:p>
              </w:tc>
              <w:tc>
                <w:tcPr>
                  <w:tcW w:type="dxa" w:w="319"/>
                </w:tcPr>
                <w:p>
                  <w:pPr>
                    <w:pStyle w:val="null3"/>
                  </w:pPr>
                  <w:r>
                    <w:rPr>
                      <w:rFonts w:ascii="仿宋_GB2312" w:hAnsi="仿宋_GB2312" w:cs="仿宋_GB2312" w:eastAsia="仿宋_GB2312"/>
                    </w:rPr>
                    <w:t>25</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38</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立式桌卡</w:t>
                  </w:r>
                </w:p>
              </w:tc>
              <w:tc>
                <w:tcPr>
                  <w:tcW w:type="dxa" w:w="319"/>
                </w:tcPr>
                <w:p>
                  <w:pPr>
                    <w:pStyle w:val="null3"/>
                  </w:pPr>
                  <w:r>
                    <w:rPr>
                      <w:rFonts w:ascii="仿宋_GB2312" w:hAnsi="仿宋_GB2312" w:cs="仿宋_GB2312" w:eastAsia="仿宋_GB2312"/>
                    </w:rPr>
                    <w:t>A4铜版纸双面彩印</w:t>
                  </w:r>
                </w:p>
              </w:tc>
              <w:tc>
                <w:tcPr>
                  <w:tcW w:type="dxa" w:w="319"/>
                </w:tcPr>
                <w:p>
                  <w:pPr>
                    <w:pStyle w:val="null3"/>
                  </w:pPr>
                  <w:r>
                    <w:rPr>
                      <w:rFonts w:ascii="仿宋_GB2312" w:hAnsi="仿宋_GB2312" w:cs="仿宋_GB2312" w:eastAsia="仿宋_GB2312"/>
                    </w:rPr>
                    <w:t>25</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39</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高校信息册</w:t>
                  </w:r>
                </w:p>
              </w:tc>
              <w:tc>
                <w:tcPr>
                  <w:tcW w:type="dxa" w:w="319"/>
                </w:tcPr>
                <w:p>
                  <w:pPr>
                    <w:pStyle w:val="null3"/>
                  </w:pPr>
                  <w:r>
                    <w:rPr>
                      <w:rFonts w:ascii="仿宋_GB2312" w:hAnsi="仿宋_GB2312" w:cs="仿宋_GB2312" w:eastAsia="仿宋_GB2312"/>
                    </w:rPr>
                    <w:t>/</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40</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门型展架</w:t>
                  </w:r>
                </w:p>
              </w:tc>
              <w:tc>
                <w:tcPr>
                  <w:tcW w:type="dxa" w:w="319"/>
                </w:tcPr>
                <w:p>
                  <w:pPr>
                    <w:pStyle w:val="null3"/>
                  </w:pPr>
                  <w:r>
                    <w:rPr>
                      <w:rFonts w:ascii="仿宋_GB2312" w:hAnsi="仿宋_GB2312" w:cs="仿宋_GB2312" w:eastAsia="仿宋_GB2312"/>
                    </w:rPr>
                    <w:t>金属展架200cm*85cm（含指引及出入口）</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41</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全流程PPT制作</w:t>
                  </w:r>
                </w:p>
              </w:tc>
              <w:tc>
                <w:tcPr>
                  <w:tcW w:type="dxa" w:w="319"/>
                </w:tcPr>
                <w:p>
                  <w:pPr>
                    <w:pStyle w:val="null3"/>
                  </w:pPr>
                  <w:r>
                    <w:rPr>
                      <w:rFonts w:ascii="仿宋_GB2312" w:hAnsi="仿宋_GB2312" w:cs="仿宋_GB2312" w:eastAsia="仿宋_GB2312"/>
                    </w:rPr>
                    <w:t>/</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42</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横幅</w:t>
                  </w:r>
                </w:p>
              </w:tc>
              <w:tc>
                <w:tcPr>
                  <w:tcW w:type="dxa" w:w="319"/>
                </w:tcPr>
                <w:p>
                  <w:pPr>
                    <w:pStyle w:val="null3"/>
                  </w:pPr>
                  <w:r>
                    <w:rPr>
                      <w:rFonts w:ascii="仿宋_GB2312" w:hAnsi="仿宋_GB2312" w:cs="仿宋_GB2312" w:eastAsia="仿宋_GB2312"/>
                    </w:rPr>
                    <w:t>15m 旗帜布</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条</w:t>
                  </w:r>
                </w:p>
              </w:tc>
              <w:tc>
                <w:tcPr>
                  <w:tcW w:type="dxa" w:w="319"/>
                </w:tcPr>
                <w:p>
                  <w:pPr>
                    <w:pStyle w:val="null3"/>
                  </w:pPr>
                  <w:r>
                    <w:rPr>
                      <w:rFonts w:ascii="仿宋_GB2312" w:hAnsi="仿宋_GB2312" w:cs="仿宋_GB2312" w:eastAsia="仿宋_GB2312"/>
                    </w:rPr>
                    <w:t>1</w:t>
                  </w:r>
                </w:p>
              </w:tc>
            </w:tr>
            <w:tr>
              <w:tc>
                <w:tcPr>
                  <w:tcW w:type="dxa" w:w="319"/>
                </w:tcPr>
                <w:p>
                  <w:pPr>
                    <w:pStyle w:val="null3"/>
                  </w:pPr>
                  <w:r>
                    <w:rPr>
                      <w:rFonts w:ascii="仿宋_GB2312" w:hAnsi="仿宋_GB2312" w:cs="仿宋_GB2312" w:eastAsia="仿宋_GB2312"/>
                    </w:rPr>
                    <w:t>43</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签字笔</w:t>
                  </w:r>
                </w:p>
              </w:tc>
              <w:tc>
                <w:tcPr>
                  <w:tcW w:type="dxa" w:w="319"/>
                </w:tcPr>
                <w:p>
                  <w:pPr>
                    <w:pStyle w:val="null3"/>
                  </w:pPr>
                  <w:r>
                    <w:rPr>
                      <w:rFonts w:ascii="仿宋_GB2312" w:hAnsi="仿宋_GB2312" w:cs="仿宋_GB2312" w:eastAsia="仿宋_GB2312"/>
                    </w:rPr>
                    <w:t>/</w:t>
                  </w:r>
                </w:p>
              </w:tc>
              <w:tc>
                <w:tcPr>
                  <w:tcW w:type="dxa" w:w="319"/>
                </w:tcPr>
                <w:p>
                  <w:pPr>
                    <w:pStyle w:val="null3"/>
                  </w:pPr>
                  <w:r>
                    <w:rPr>
                      <w:rFonts w:ascii="仿宋_GB2312" w:hAnsi="仿宋_GB2312" w:cs="仿宋_GB2312" w:eastAsia="仿宋_GB2312"/>
                    </w:rPr>
                    <w:t>70</w:t>
                  </w:r>
                </w:p>
              </w:tc>
              <w:tc>
                <w:tcPr>
                  <w:tcW w:type="dxa" w:w="319"/>
                </w:tcPr>
                <w:p>
                  <w:pPr>
                    <w:pStyle w:val="null3"/>
                  </w:pPr>
                  <w:r>
                    <w:rPr>
                      <w:rFonts w:ascii="仿宋_GB2312" w:hAnsi="仿宋_GB2312" w:cs="仿宋_GB2312" w:eastAsia="仿宋_GB2312"/>
                    </w:rPr>
                    <w:t>支</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44</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饮用水</w:t>
                  </w:r>
                </w:p>
              </w:tc>
              <w:tc>
                <w:tcPr>
                  <w:tcW w:type="dxa" w:w="319"/>
                </w:tcPr>
                <w:p>
                  <w:pPr>
                    <w:pStyle w:val="null3"/>
                  </w:pPr>
                  <w:r>
                    <w:rPr>
                      <w:rFonts w:ascii="仿宋_GB2312" w:hAnsi="仿宋_GB2312" w:cs="仿宋_GB2312" w:eastAsia="仿宋_GB2312"/>
                    </w:rPr>
                    <w:t>标准饮用水（3箱）</w:t>
                  </w:r>
                </w:p>
              </w:tc>
              <w:tc>
                <w:tcPr>
                  <w:tcW w:type="dxa" w:w="319"/>
                </w:tcPr>
                <w:p>
                  <w:pPr>
                    <w:pStyle w:val="null3"/>
                  </w:pPr>
                  <w:r>
                    <w:rPr>
                      <w:rFonts w:ascii="仿宋_GB2312" w:hAnsi="仿宋_GB2312" w:cs="仿宋_GB2312" w:eastAsia="仿宋_GB2312"/>
                    </w:rPr>
                    <w:t>72</w:t>
                  </w:r>
                </w:p>
              </w:tc>
              <w:tc>
                <w:tcPr>
                  <w:tcW w:type="dxa" w:w="319"/>
                </w:tcPr>
                <w:p>
                  <w:pPr>
                    <w:pStyle w:val="null3"/>
                  </w:pPr>
                  <w:r>
                    <w:rPr>
                      <w:rFonts w:ascii="仿宋_GB2312" w:hAnsi="仿宋_GB2312" w:cs="仿宋_GB2312" w:eastAsia="仿宋_GB2312"/>
                    </w:rPr>
                    <w:t>瓶</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45</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茶歇</w:t>
                  </w:r>
                </w:p>
              </w:tc>
              <w:tc>
                <w:tcPr>
                  <w:tcW w:type="dxa" w:w="319"/>
                </w:tcPr>
                <w:p>
                  <w:pPr>
                    <w:pStyle w:val="null3"/>
                  </w:pPr>
                  <w:r>
                    <w:rPr>
                      <w:rFonts w:ascii="仿宋_GB2312" w:hAnsi="仿宋_GB2312" w:cs="仿宋_GB2312" w:eastAsia="仿宋_GB2312"/>
                    </w:rPr>
                    <w:t>以实际情况为准</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46</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西安特色宣传品</w:t>
                  </w:r>
                </w:p>
              </w:tc>
              <w:tc>
                <w:tcPr>
                  <w:tcW w:type="dxa" w:w="319"/>
                </w:tcPr>
                <w:p>
                  <w:pPr>
                    <w:pStyle w:val="null3"/>
                  </w:pPr>
                  <w:r>
                    <w:rPr>
                      <w:rFonts w:ascii="仿宋_GB2312" w:hAnsi="仿宋_GB2312" w:cs="仿宋_GB2312" w:eastAsia="仿宋_GB2312"/>
                    </w:rPr>
                    <w:t>西安文化、城市形象为核心的文创类宣传品</w:t>
                  </w:r>
                </w:p>
              </w:tc>
              <w:tc>
                <w:tcPr>
                  <w:tcW w:type="dxa" w:w="319"/>
                </w:tcPr>
                <w:p>
                  <w:pPr>
                    <w:pStyle w:val="null3"/>
                  </w:pPr>
                  <w:r>
                    <w:rPr>
                      <w:rFonts w:ascii="仿宋_GB2312" w:hAnsi="仿宋_GB2312" w:cs="仿宋_GB2312" w:eastAsia="仿宋_GB2312"/>
                    </w:rPr>
                    <w:t>100</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47</w:t>
                  </w:r>
                </w:p>
              </w:tc>
              <w:tc>
                <w:tcPr>
                  <w:tcW w:type="dxa" w:w="319"/>
                  <w:vMerge/>
                </w:tcPr>
                <w:p/>
              </w:tc>
              <w:tc>
                <w:tcPr>
                  <w:tcW w:type="dxa" w:w="319"/>
                  <w:vMerge w:val="restart"/>
                </w:tcPr>
                <w:p>
                  <w:pPr>
                    <w:pStyle w:val="null3"/>
                  </w:pPr>
                  <w:r>
                    <w:rPr>
                      <w:rFonts w:ascii="仿宋_GB2312" w:hAnsi="仿宋_GB2312" w:cs="仿宋_GB2312" w:eastAsia="仿宋_GB2312"/>
                    </w:rPr>
                    <w:t>企业参访</w:t>
                  </w:r>
                </w:p>
              </w:tc>
              <w:tc>
                <w:tcPr>
                  <w:tcW w:type="dxa" w:w="319"/>
                </w:tcPr>
                <w:p>
                  <w:pPr>
                    <w:pStyle w:val="null3"/>
                  </w:pPr>
                  <w:r>
                    <w:rPr>
                      <w:rFonts w:ascii="仿宋_GB2312" w:hAnsi="仿宋_GB2312" w:cs="仿宋_GB2312" w:eastAsia="仿宋_GB2312"/>
                    </w:rPr>
                    <w:t>横幅</w:t>
                  </w:r>
                </w:p>
              </w:tc>
              <w:tc>
                <w:tcPr>
                  <w:tcW w:type="dxa" w:w="319"/>
                </w:tcPr>
                <w:p>
                  <w:pPr>
                    <w:pStyle w:val="null3"/>
                  </w:pPr>
                  <w:r>
                    <w:rPr>
                      <w:rFonts w:ascii="仿宋_GB2312" w:hAnsi="仿宋_GB2312" w:cs="仿宋_GB2312" w:eastAsia="仿宋_GB2312"/>
                    </w:rPr>
                    <w:t>15m 旗帜布</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tcPr>
                <w:p>
                  <w:pPr>
                    <w:pStyle w:val="null3"/>
                  </w:pPr>
                  <w:r>
                    <w:rPr>
                      <w:rFonts w:ascii="仿宋_GB2312" w:hAnsi="仿宋_GB2312" w:cs="仿宋_GB2312" w:eastAsia="仿宋_GB2312"/>
                    </w:rPr>
                    <w:t>48</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活动行程单</w:t>
                  </w:r>
                </w:p>
              </w:tc>
              <w:tc>
                <w:tcPr>
                  <w:tcW w:type="dxa" w:w="319"/>
                </w:tcPr>
                <w:p>
                  <w:pPr>
                    <w:pStyle w:val="null3"/>
                  </w:pPr>
                  <w:r>
                    <w:rPr>
                      <w:rFonts w:ascii="仿宋_GB2312" w:hAnsi="仿宋_GB2312" w:cs="仿宋_GB2312" w:eastAsia="仿宋_GB2312"/>
                    </w:rPr>
                    <w:t>三折页加厚铜版纸印刷</w:t>
                  </w:r>
                  <w:r>
                    <w:br/>
                  </w:r>
                  <w:r>
                    <w:rPr>
                      <w:rFonts w:ascii="仿宋_GB2312" w:hAnsi="仿宋_GB2312" w:cs="仿宋_GB2312" w:eastAsia="仿宋_GB2312"/>
                    </w:rPr>
                    <w:t xml:space="preserve"> （活动行程、参访单位简介）</w:t>
                  </w:r>
                </w:p>
              </w:tc>
              <w:tc>
                <w:tcPr>
                  <w:tcW w:type="dxa" w:w="319"/>
                </w:tcPr>
                <w:p>
                  <w:pPr>
                    <w:pStyle w:val="null3"/>
                  </w:pPr>
                  <w:r>
                    <w:rPr>
                      <w:rFonts w:ascii="仿宋_GB2312" w:hAnsi="仿宋_GB2312" w:cs="仿宋_GB2312" w:eastAsia="仿宋_GB2312"/>
                    </w:rPr>
                    <w:t>30</w:t>
                  </w:r>
                </w:p>
              </w:tc>
              <w:tc>
                <w:tcPr>
                  <w:tcW w:type="dxa" w:w="319"/>
                </w:tcPr>
                <w:p>
                  <w:pPr>
                    <w:pStyle w:val="null3"/>
                  </w:pPr>
                  <w:r>
                    <w:rPr>
                      <w:rFonts w:ascii="仿宋_GB2312" w:hAnsi="仿宋_GB2312" w:cs="仿宋_GB2312" w:eastAsia="仿宋_GB2312"/>
                    </w:rPr>
                    <w:t>份</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49</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饮用水</w:t>
                  </w:r>
                </w:p>
              </w:tc>
              <w:tc>
                <w:tcPr>
                  <w:tcW w:type="dxa" w:w="319"/>
                </w:tcPr>
                <w:p>
                  <w:pPr>
                    <w:pStyle w:val="null3"/>
                  </w:pPr>
                  <w:r>
                    <w:rPr>
                      <w:rFonts w:ascii="仿宋_GB2312" w:hAnsi="仿宋_GB2312" w:cs="仿宋_GB2312" w:eastAsia="仿宋_GB2312"/>
                    </w:rPr>
                    <w:t>标准饮用水（3箱）</w:t>
                  </w:r>
                </w:p>
              </w:tc>
              <w:tc>
                <w:tcPr>
                  <w:tcW w:type="dxa" w:w="319"/>
                </w:tcPr>
                <w:p>
                  <w:pPr>
                    <w:pStyle w:val="null3"/>
                  </w:pPr>
                  <w:r>
                    <w:rPr>
                      <w:rFonts w:ascii="仿宋_GB2312" w:hAnsi="仿宋_GB2312" w:cs="仿宋_GB2312" w:eastAsia="仿宋_GB2312"/>
                    </w:rPr>
                    <w:t>72</w:t>
                  </w:r>
                </w:p>
              </w:tc>
              <w:tc>
                <w:tcPr>
                  <w:tcW w:type="dxa" w:w="319"/>
                </w:tcPr>
                <w:p>
                  <w:pPr>
                    <w:pStyle w:val="null3"/>
                  </w:pPr>
                  <w:r>
                    <w:rPr>
                      <w:rFonts w:ascii="仿宋_GB2312" w:hAnsi="仿宋_GB2312" w:cs="仿宋_GB2312" w:eastAsia="仿宋_GB2312"/>
                    </w:rPr>
                    <w:t>瓶</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50</w:t>
                  </w:r>
                </w:p>
              </w:tc>
              <w:tc>
                <w:tcPr>
                  <w:tcW w:type="dxa" w:w="319"/>
                  <w:vMerge/>
                </w:tcPr>
                <w:p/>
              </w:tc>
              <w:tc>
                <w:tcPr>
                  <w:tcW w:type="dxa" w:w="319"/>
                  <w:vMerge w:val="restart"/>
                </w:tcPr>
                <w:p>
                  <w:pPr>
                    <w:pStyle w:val="null3"/>
                  </w:pPr>
                  <w:r>
                    <w:rPr>
                      <w:rFonts w:ascii="仿宋_GB2312" w:hAnsi="仿宋_GB2312" w:cs="仿宋_GB2312" w:eastAsia="仿宋_GB2312"/>
                    </w:rPr>
                    <w:t>高校宣介</w:t>
                  </w:r>
                </w:p>
              </w:tc>
              <w:tc>
                <w:tcPr>
                  <w:tcW w:type="dxa" w:w="319"/>
                </w:tcPr>
                <w:p>
                  <w:pPr>
                    <w:pStyle w:val="null3"/>
                  </w:pPr>
                  <w:r>
                    <w:rPr>
                      <w:rFonts w:ascii="仿宋_GB2312" w:hAnsi="仿宋_GB2312" w:cs="仿宋_GB2312" w:eastAsia="仿宋_GB2312"/>
                    </w:rPr>
                    <w:t>场地租用</w:t>
                  </w:r>
                </w:p>
              </w:tc>
              <w:tc>
                <w:tcPr>
                  <w:tcW w:type="dxa" w:w="319"/>
                </w:tcPr>
                <w:p>
                  <w:pPr>
                    <w:pStyle w:val="null3"/>
                  </w:pPr>
                  <w:r>
                    <w:rPr>
                      <w:rFonts w:ascii="仿宋_GB2312" w:hAnsi="仿宋_GB2312" w:cs="仿宋_GB2312" w:eastAsia="仿宋_GB2312"/>
                    </w:rPr>
                    <w:t>宣讲会场地-产业园区</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51</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主视觉桁架</w:t>
                  </w:r>
                </w:p>
              </w:tc>
              <w:tc>
                <w:tcPr>
                  <w:tcW w:type="dxa" w:w="319"/>
                </w:tcPr>
                <w:p>
                  <w:pPr>
                    <w:pStyle w:val="null3"/>
                  </w:pPr>
                  <w:r>
                    <w:rPr>
                      <w:rFonts w:ascii="仿宋_GB2312" w:hAnsi="仿宋_GB2312" w:cs="仿宋_GB2312" w:eastAsia="仿宋_GB2312"/>
                    </w:rPr>
                    <w:t>桁架+遮光布喷绘8*4*2m,内置配重</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52</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门型展架</w:t>
                  </w:r>
                </w:p>
              </w:tc>
              <w:tc>
                <w:tcPr>
                  <w:tcW w:type="dxa" w:w="319"/>
                </w:tcPr>
                <w:p>
                  <w:pPr>
                    <w:pStyle w:val="null3"/>
                  </w:pPr>
                  <w:r>
                    <w:rPr>
                      <w:rFonts w:ascii="仿宋_GB2312" w:hAnsi="仿宋_GB2312" w:cs="仿宋_GB2312" w:eastAsia="仿宋_GB2312"/>
                    </w:rPr>
                    <w:t>金属展架200cm*85cm（含指引及高校简介）</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53</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演讲台包装</w:t>
                  </w:r>
                </w:p>
              </w:tc>
              <w:tc>
                <w:tcPr>
                  <w:tcW w:type="dxa" w:w="319"/>
                </w:tcPr>
                <w:p>
                  <w:pPr>
                    <w:pStyle w:val="null3"/>
                  </w:pPr>
                  <w:r>
                    <w:rPr>
                      <w:rFonts w:ascii="仿宋_GB2312" w:hAnsi="仿宋_GB2312" w:cs="仿宋_GB2312" w:eastAsia="仿宋_GB2312"/>
                    </w:rPr>
                    <w:t>三面KT板整体内开槽包装</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54</w:t>
                  </w: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桌卡</w:t>
                  </w:r>
                </w:p>
              </w:tc>
              <w:tc>
                <w:tcPr>
                  <w:tcW w:type="dxa" w:w="319"/>
                </w:tcPr>
                <w:p>
                  <w:pPr>
                    <w:pStyle w:val="null3"/>
                  </w:pPr>
                  <w:r>
                    <w:rPr>
                      <w:rFonts w:ascii="仿宋_GB2312" w:hAnsi="仿宋_GB2312" w:cs="仿宋_GB2312" w:eastAsia="仿宋_GB2312"/>
                    </w:rPr>
                    <w:t>250g 粉纸</w:t>
                  </w:r>
                </w:p>
              </w:tc>
              <w:tc>
                <w:tcPr>
                  <w:tcW w:type="dxa" w:w="319"/>
                </w:tcPr>
                <w:p>
                  <w:pPr>
                    <w:pStyle w:val="null3"/>
                  </w:pPr>
                  <w:r>
                    <w:rPr>
                      <w:rFonts w:ascii="仿宋_GB2312" w:hAnsi="仿宋_GB2312" w:cs="仿宋_GB2312" w:eastAsia="仿宋_GB2312"/>
                    </w:rPr>
                    <w:t>15</w:t>
                  </w:r>
                </w:p>
              </w:tc>
              <w:tc>
                <w:tcPr>
                  <w:tcW w:type="dxa" w:w="319"/>
                </w:tcPr>
                <w:p>
                  <w:pPr>
                    <w:pStyle w:val="null3"/>
                  </w:pPr>
                  <w:r>
                    <w:rPr>
                      <w:rFonts w:ascii="仿宋_GB2312" w:hAnsi="仿宋_GB2312" w:cs="仿宋_GB2312" w:eastAsia="仿宋_GB2312"/>
                    </w:rPr>
                    <w:t>张</w:t>
                  </w:r>
                </w:p>
              </w:tc>
              <w:tc>
                <w:tcPr>
                  <w:tcW w:type="dxa" w:w="319"/>
                </w:tcPr>
                <w:p>
                  <w:pPr>
                    <w:pStyle w:val="null3"/>
                  </w:pPr>
                  <w:r>
                    <w:rPr>
                      <w:rFonts w:ascii="仿宋_GB2312" w:hAnsi="仿宋_GB2312" w:cs="仿宋_GB2312" w:eastAsia="仿宋_GB2312"/>
                    </w:rPr>
                    <w:t>2</w:t>
                  </w:r>
                </w:p>
              </w:tc>
            </w:tr>
            <w:tr>
              <w:tc>
                <w:tcPr>
                  <w:tcW w:type="dxa" w:w="319"/>
                </w:tcPr>
                <w:p>
                  <w:pPr>
                    <w:pStyle w:val="null3"/>
                  </w:pPr>
                  <w:r>
                    <w:rPr>
                      <w:rFonts w:ascii="仿宋_GB2312" w:hAnsi="仿宋_GB2312" w:cs="仿宋_GB2312" w:eastAsia="仿宋_GB2312"/>
                    </w:rPr>
                    <w:t>55</w:t>
                  </w:r>
                </w:p>
              </w:tc>
              <w:tc>
                <w:tcPr>
                  <w:tcW w:type="dxa" w:w="319"/>
                  <w:vMerge/>
                </w:tcPr>
                <w:p/>
              </w:tc>
              <w:tc>
                <w:tcPr>
                  <w:tcW w:type="dxa" w:w="638"/>
                  <w:gridSpan w:val="2"/>
                  <w:vMerge w:val="restart"/>
                </w:tcPr>
                <w:p>
                  <w:pPr>
                    <w:pStyle w:val="null3"/>
                  </w:pPr>
                  <w:r>
                    <w:rPr>
                      <w:rFonts w:ascii="仿宋_GB2312" w:hAnsi="仿宋_GB2312" w:cs="仿宋_GB2312" w:eastAsia="仿宋_GB2312"/>
                    </w:rPr>
                    <w:t>地方车辆租赁</w:t>
                  </w:r>
                </w:p>
              </w:tc>
              <w:tc>
                <w:tcPr>
                  <w:tcW w:type="dxa" w:w="319"/>
                </w:tcPr>
                <w:p>
                  <w:pPr>
                    <w:pStyle w:val="null3"/>
                  </w:pPr>
                  <w:r>
                    <w:rPr>
                      <w:rFonts w:ascii="仿宋_GB2312" w:hAnsi="仿宋_GB2312" w:cs="仿宋_GB2312" w:eastAsia="仿宋_GB2312"/>
                    </w:rPr>
                    <w:t>11座商务车（含司机）</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辆</w:t>
                  </w:r>
                </w:p>
              </w:tc>
              <w:tc>
                <w:tcPr>
                  <w:tcW w:type="dxa" w:w="319"/>
                </w:tcPr>
                <w:p>
                  <w:pPr>
                    <w:pStyle w:val="null3"/>
                  </w:pPr>
                  <w:r>
                    <w:rPr>
                      <w:rFonts w:ascii="仿宋_GB2312" w:hAnsi="仿宋_GB2312" w:cs="仿宋_GB2312" w:eastAsia="仿宋_GB2312"/>
                    </w:rPr>
                    <w:t>5</w:t>
                  </w:r>
                </w:p>
              </w:tc>
            </w:tr>
            <w:tr>
              <w:tc>
                <w:tcPr>
                  <w:tcW w:type="dxa" w:w="319"/>
                </w:tcPr>
                <w:p>
                  <w:pPr>
                    <w:pStyle w:val="null3"/>
                  </w:pPr>
                  <w:r>
                    <w:rPr>
                      <w:rFonts w:ascii="仿宋_GB2312" w:hAnsi="仿宋_GB2312" w:cs="仿宋_GB2312" w:eastAsia="仿宋_GB2312"/>
                    </w:rPr>
                    <w:t>56</w:t>
                  </w:r>
                </w:p>
              </w:tc>
              <w:tc>
                <w:tcPr>
                  <w:tcW w:type="dxa" w:w="319"/>
                  <w:vMerge/>
                </w:tcPr>
                <w:p/>
              </w:tc>
              <w:tc>
                <w:tcPr>
                  <w:tcW w:type="dxa" w:w="638"/>
                  <w:gridSpan w:val="2"/>
                  <w:vMerge/>
                </w:tcPr>
                <w:p/>
              </w:tc>
              <w:tc>
                <w:tcPr>
                  <w:tcW w:type="dxa" w:w="319"/>
                </w:tcPr>
                <w:p>
                  <w:pPr>
                    <w:pStyle w:val="null3"/>
                  </w:pPr>
                  <w:r>
                    <w:rPr>
                      <w:rFonts w:ascii="仿宋_GB2312" w:hAnsi="仿宋_GB2312" w:cs="仿宋_GB2312" w:eastAsia="仿宋_GB2312"/>
                    </w:rPr>
                    <w:t>37座大巴（含司机）</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辆</w:t>
                  </w:r>
                </w:p>
              </w:tc>
              <w:tc>
                <w:tcPr>
                  <w:tcW w:type="dxa" w:w="319"/>
                </w:tcPr>
                <w:p>
                  <w:pPr>
                    <w:pStyle w:val="null3"/>
                  </w:pPr>
                  <w:r>
                    <w:rPr>
                      <w:rFonts w:ascii="仿宋_GB2312" w:hAnsi="仿宋_GB2312" w:cs="仿宋_GB2312" w:eastAsia="仿宋_GB2312"/>
                    </w:rPr>
                    <w:t>5</w:t>
                  </w:r>
                </w:p>
              </w:tc>
            </w:tr>
            <w:tr>
              <w:tc>
                <w:tcPr>
                  <w:tcW w:type="dxa" w:w="319"/>
                </w:tcPr>
                <w:p>
                  <w:pPr>
                    <w:pStyle w:val="null3"/>
                  </w:pPr>
                  <w:r>
                    <w:rPr>
                      <w:rFonts w:ascii="仿宋_GB2312" w:hAnsi="仿宋_GB2312" w:cs="仿宋_GB2312" w:eastAsia="仿宋_GB2312"/>
                    </w:rPr>
                    <w:t>57</w:t>
                  </w:r>
                </w:p>
              </w:tc>
              <w:tc>
                <w:tcPr>
                  <w:tcW w:type="dxa" w:w="319"/>
                  <w:vMerge/>
                </w:tcPr>
                <w:p/>
              </w:tc>
              <w:tc>
                <w:tcPr>
                  <w:tcW w:type="dxa" w:w="638"/>
                  <w:gridSpan w:val="2"/>
                </w:tcPr>
                <w:p>
                  <w:pPr>
                    <w:pStyle w:val="null3"/>
                  </w:pPr>
                  <w:r>
                    <w:rPr>
                      <w:rFonts w:ascii="仿宋_GB2312" w:hAnsi="仿宋_GB2312" w:cs="仿宋_GB2312" w:eastAsia="仿宋_GB2312"/>
                    </w:rPr>
                    <w:t>工作人员交通食宿费</w:t>
                  </w:r>
                </w:p>
              </w:tc>
              <w:tc>
                <w:tcPr>
                  <w:tcW w:type="dxa" w:w="1276"/>
                  <w:gridSpan w:val="4"/>
                </w:tcPr>
                <w:p>
                  <w:pPr>
                    <w:pStyle w:val="null3"/>
                  </w:pPr>
                  <w:r>
                    <w:rPr>
                      <w:rFonts w:ascii="仿宋_GB2312" w:hAnsi="仿宋_GB2312" w:cs="仿宋_GB2312" w:eastAsia="仿宋_GB2312"/>
                    </w:rPr>
                    <w:t>本次计划5人赴产业资源密集地区开展活动，活动过程交通方式以高铁动车为主，如遇两地间距离过远，考虑到实际交通便捷经济性，将参考航班交通，就餐及食宿参考财政规定工作人员标准执行</w:t>
                  </w:r>
                </w:p>
              </w:tc>
            </w:tr>
            <w:tr>
              <w:tc>
                <w:tcPr>
                  <w:tcW w:type="dxa" w:w="319"/>
                </w:tcPr>
                <w:p>
                  <w:pPr>
                    <w:pStyle w:val="null3"/>
                  </w:pPr>
                  <w:r>
                    <w:rPr>
                      <w:rFonts w:ascii="仿宋_GB2312" w:hAnsi="仿宋_GB2312" w:cs="仿宋_GB2312" w:eastAsia="仿宋_GB2312"/>
                    </w:rPr>
                    <w:t>58</w:t>
                  </w:r>
                </w:p>
              </w:tc>
              <w:tc>
                <w:tcPr>
                  <w:tcW w:type="dxa" w:w="319"/>
                  <w:vMerge/>
                </w:tcPr>
                <w:p/>
              </w:tc>
              <w:tc>
                <w:tcPr>
                  <w:tcW w:type="dxa" w:w="638"/>
                  <w:gridSpan w:val="2"/>
                </w:tcPr>
                <w:p>
                  <w:pPr>
                    <w:pStyle w:val="null3"/>
                  </w:pPr>
                  <w:r>
                    <w:rPr>
                      <w:rFonts w:ascii="仿宋_GB2312" w:hAnsi="仿宋_GB2312" w:cs="仿宋_GB2312" w:eastAsia="仿宋_GB2312"/>
                    </w:rPr>
                    <w:t>高校交通食宿费</w:t>
                  </w:r>
                </w:p>
              </w:tc>
              <w:tc>
                <w:tcPr>
                  <w:tcW w:type="dxa" w:w="1276"/>
                  <w:gridSpan w:val="4"/>
                </w:tcPr>
                <w:p>
                  <w:pPr>
                    <w:pStyle w:val="null3"/>
                  </w:pPr>
                  <w:r>
                    <w:rPr>
                      <w:rFonts w:ascii="仿宋_GB2312" w:hAnsi="仿宋_GB2312" w:cs="仿宋_GB2312" w:eastAsia="仿宋_GB2312"/>
                    </w:rPr>
                    <w:t>本次计划邀约20所西安高校赴产业资源密集地区开展活动，活动过程交通方式以高铁动车为主，如遇两地间距离过远，考虑到实际交通便捷经济性，将参考航班交通，就餐及食宿参考财政规定工作人员标准执行（每单位负担1人）</w:t>
                  </w:r>
                </w:p>
              </w:tc>
            </w:tr>
            <w:tr>
              <w:tc>
                <w:tcPr>
                  <w:tcW w:type="dxa" w:w="319"/>
                </w:tcPr>
                <w:p>
                  <w:pPr>
                    <w:pStyle w:val="null3"/>
                  </w:pPr>
                  <w:r>
                    <w:rPr>
                      <w:rFonts w:ascii="仿宋_GB2312" w:hAnsi="仿宋_GB2312" w:cs="仿宋_GB2312" w:eastAsia="仿宋_GB2312"/>
                    </w:rPr>
                    <w:t>59</w:t>
                  </w:r>
                </w:p>
              </w:tc>
              <w:tc>
                <w:tcPr>
                  <w:tcW w:type="dxa" w:w="319"/>
                  <w:vMerge/>
                </w:tcPr>
                <w:p/>
              </w:tc>
              <w:tc>
                <w:tcPr>
                  <w:tcW w:type="dxa" w:w="638"/>
                  <w:gridSpan w:val="2"/>
                </w:tcPr>
                <w:p>
                  <w:pPr>
                    <w:pStyle w:val="null3"/>
                  </w:pPr>
                  <w:r>
                    <w:rPr>
                      <w:rFonts w:ascii="仿宋_GB2312" w:hAnsi="仿宋_GB2312" w:cs="仿宋_GB2312" w:eastAsia="仿宋_GB2312"/>
                    </w:rPr>
                    <w:t>活动宣传</w:t>
                  </w:r>
                </w:p>
              </w:tc>
              <w:tc>
                <w:tcPr>
                  <w:tcW w:type="dxa" w:w="319"/>
                </w:tcPr>
                <w:p>
                  <w:pPr>
                    <w:pStyle w:val="null3"/>
                  </w:pPr>
                  <w:r>
                    <w:rPr>
                      <w:rFonts w:ascii="仿宋_GB2312" w:hAnsi="仿宋_GB2312" w:cs="仿宋_GB2312" w:eastAsia="仿宋_GB2312"/>
                    </w:rPr>
                    <w:t>本地+外地知名媒体宣传（活动全程预告、图文预告、图文总结等）</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六、其他要求</w:t>
            </w:r>
          </w:p>
          <w:p>
            <w:pPr>
              <w:pStyle w:val="null3"/>
            </w:pPr>
            <w:r>
              <w:rPr>
                <w:rFonts w:ascii="仿宋_GB2312" w:hAnsi="仿宋_GB2312" w:cs="仿宋_GB2312" w:eastAsia="仿宋_GB2312"/>
              </w:rPr>
              <w:t>（一）成交供应商应当按活动要求提供外地龙头企业、重点产业园区资源，并配备专职项目负责人、外地企业对接专员，团队具备人力资源、校企合作经验。</w:t>
            </w:r>
          </w:p>
          <w:p>
            <w:pPr>
              <w:pStyle w:val="null3"/>
            </w:pPr>
            <w:r>
              <w:rPr>
                <w:rFonts w:ascii="仿宋_GB2312" w:hAnsi="仿宋_GB2312" w:cs="仿宋_GB2312" w:eastAsia="仿宋_GB2312"/>
              </w:rPr>
              <w:t>（二）与活动有关的设计产品（含源文件）、数据资料和分析成果所有权归采购人所有。</w:t>
            </w:r>
          </w:p>
          <w:p>
            <w:pPr>
              <w:pStyle w:val="null3"/>
            </w:pPr>
            <w:r>
              <w:rPr>
                <w:rFonts w:ascii="仿宋_GB2312" w:hAnsi="仿宋_GB2312" w:cs="仿宋_GB2312" w:eastAsia="仿宋_GB2312"/>
              </w:rPr>
              <w:t>（三）采购人将按工作要求分阶段进行采购项目的检查验收，如果发现与采购要求不符或与中标文件不符等问题，成交供应商应当按要求采取补救处理措施，并承担相关质量保证责任。若活动结束时仍未按采购要求完成补救处理的，采购人将按未落实项目扣除相应费用。</w:t>
            </w:r>
          </w:p>
          <w:p>
            <w:pPr>
              <w:pStyle w:val="null3"/>
            </w:pPr>
            <w:r>
              <w:rPr>
                <w:rFonts w:ascii="仿宋_GB2312" w:hAnsi="仿宋_GB2312" w:cs="仿宋_GB2312" w:eastAsia="仿宋_GB2312"/>
              </w:rPr>
              <w:t>（四）对于在活动筹备、执行期间突发且与工作有关的相关内容，但未在磋商文件中体现与明确的，成交供应商有义务配合采购人开展相关工作。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自合同签订之日起至项目执行结束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西安市人才服务中心指定地点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以下款项，供应商应开具等额的正规税务发票作为采购人付款凭证，否则采购人有权拒付。签订合同后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2026年西安市秋季组团赴外访企拓岗活动完成准备工作（6月底前）</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活动结束，验收合格后，根据实际发生费用一次性结清余款，最终支付金额以项目验收结果为准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赋予的验证码）（成立时间至提交投标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其他符合性审查内容</w:t>
            </w:r>
          </w:p>
        </w:tc>
        <w:tc>
          <w:tcPr>
            <w:tcW w:type="dxa" w:w="3322"/>
          </w:tcPr>
          <w:p>
            <w:pPr>
              <w:pStyle w:val="null3"/>
            </w:pPr>
            <w:r>
              <w:rPr>
                <w:rFonts w:ascii="仿宋_GB2312" w:hAnsi="仿宋_GB2312" w:cs="仿宋_GB2312" w:eastAsia="仿宋_GB2312"/>
              </w:rPr>
              <w:t>有下列情形之一的，应在符合性审查时按照无效磋商处理：(1)磋商响应文件未按照磋商文件规定要求签署、盖章的；(2)不满足本磋商文件中“服务期限、服务地点、采购资金的支付方式及约定”实质性条款要求的；(3)响应文件有效期不足的或无有效期的；(4)报价超过磋商文件中规定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服务响应与偏离表.docx 12其他资料.docx 标的清单 报价表 商务部分偏离表.docx 响应函 资格证明文件.docx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供应商提供对本项目的工作内容理解清晰，能清楚描述本次工作任务目标，并提出技术建议叙述。 方案对评审内容中的要求有详细描述及说明得5分，内容存在一处缺陷扣1分，扣完为止。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1项目理解.docx</w:t>
            </w:r>
          </w:p>
        </w:tc>
      </w:tr>
      <w:tr>
        <w:tc>
          <w:tcPr>
            <w:tcW w:type="dxa" w:w="831"/>
            <w:vMerge/>
          </w:tcPr>
          <w:p/>
        </w:tc>
        <w:tc>
          <w:tcPr>
            <w:tcW w:type="dxa" w:w="1661"/>
          </w:tcPr>
          <w:p>
            <w:pPr>
              <w:pStyle w:val="null3"/>
            </w:pPr>
            <w:r>
              <w:rPr>
                <w:rFonts w:ascii="仿宋_GB2312" w:hAnsi="仿宋_GB2312" w:cs="仿宋_GB2312" w:eastAsia="仿宋_GB2312"/>
              </w:rPr>
              <w:t>总体设计</w:t>
            </w:r>
          </w:p>
        </w:tc>
        <w:tc>
          <w:tcPr>
            <w:tcW w:type="dxa" w:w="2492"/>
          </w:tcPr>
          <w:p>
            <w:pPr>
              <w:pStyle w:val="null3"/>
            </w:pPr>
            <w:r>
              <w:rPr>
                <w:rFonts w:ascii="仿宋_GB2312" w:hAnsi="仿宋_GB2312" w:cs="仿宋_GB2312" w:eastAsia="仿宋_GB2312"/>
              </w:rPr>
              <w:t>根据供应商针对本项目提供的总体设计进行综合评审，内容包括：①发布活动策划②参访活动策划③宣讲活动策划④活动宣发及相关物料。 方案对评审内容中的各项要求有详细描述及说明得16分，每有一项缺项扣4分，每有一项内容存在一处缺陷扣1分，扣完为止。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2总体设计.docx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根据供应商针对本项目提供的服务方案进行综合评审，内容包括：①整体服务方案②服务质量管控及进度计划③活动前期筹备及拟投入设备清单④活动落地对接⑤交通食宿安排。 方案对评审内容中的各项要求有详细描述及说明得20分，每有一项缺项扣4分，每有一项内容存在一处缺陷扣1分，扣完为止。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①项目负责人：负责人有相关领域工作经验或者曾承担过相关工作的主要负责人（须提供业绩证明，项目负责人的业绩与供应商的业绩不重复计分），每提供一份业绩计1分，满分2分； ②项目负责人具有专业能力，并提供相关证明材料（包括但不限于履历证明、相关资质、工作年限、学历证书等），提供完整计3分，每有一项缺陷扣1分，扣完为止。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4项目负责人.docx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提供针对本项目的人员配置方案，内容包括：①拟投入的服务团队人员数量及清单、②人员分工及职责、③人员专业性及工作经验。 方案对评审内容中的各项要求有详细描述及说明得6分，每有一项缺项扣2分，每有一项内容存在一处缺陷扣0.5分，扣完为止。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5团队人员.docx</w:t>
            </w:r>
          </w:p>
        </w:tc>
      </w:tr>
      <w:tr>
        <w:tc>
          <w:tcPr>
            <w:tcW w:type="dxa" w:w="831"/>
            <w:vMerge/>
          </w:tcPr>
          <w:p/>
        </w:tc>
        <w:tc>
          <w:tcPr>
            <w:tcW w:type="dxa" w:w="1661"/>
          </w:tcPr>
          <w:p>
            <w:pPr>
              <w:pStyle w:val="null3"/>
            </w:pPr>
            <w:r>
              <w:rPr>
                <w:rFonts w:ascii="仿宋_GB2312" w:hAnsi="仿宋_GB2312" w:cs="仿宋_GB2312" w:eastAsia="仿宋_GB2312"/>
              </w:rPr>
              <w:t>服务能力1</w:t>
            </w:r>
          </w:p>
        </w:tc>
        <w:tc>
          <w:tcPr>
            <w:tcW w:type="dxa" w:w="2492"/>
          </w:tcPr>
          <w:p>
            <w:pPr>
              <w:pStyle w:val="null3"/>
            </w:pPr>
            <w:r>
              <w:rPr>
                <w:rFonts w:ascii="仿宋_GB2312" w:hAnsi="仿宋_GB2312" w:cs="仿宋_GB2312" w:eastAsia="仿宋_GB2312"/>
              </w:rPr>
              <w:t>根据供应商的服务能力进行综合评审，内容包括①资源整合与匹配能力②专业化服务水平③数字与信息化服务能力④活动组织与执行能力。 方案对评审内容中的各项要求有详细描述及说明得8分，每有一项缺项扣2分，每有一项内容存在一处缺陷扣0.5分，扣完为止。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6服务能力1.docx</w:t>
            </w:r>
          </w:p>
        </w:tc>
      </w:tr>
      <w:tr>
        <w:tc>
          <w:tcPr>
            <w:tcW w:type="dxa" w:w="831"/>
            <w:vMerge/>
          </w:tcPr>
          <w:p/>
        </w:tc>
        <w:tc>
          <w:tcPr>
            <w:tcW w:type="dxa" w:w="1661"/>
          </w:tcPr>
          <w:p>
            <w:pPr>
              <w:pStyle w:val="null3"/>
            </w:pPr>
            <w:r>
              <w:rPr>
                <w:rFonts w:ascii="仿宋_GB2312" w:hAnsi="仿宋_GB2312" w:cs="仿宋_GB2312" w:eastAsia="仿宋_GB2312"/>
              </w:rPr>
              <w:t>服务能力2</w:t>
            </w:r>
          </w:p>
        </w:tc>
        <w:tc>
          <w:tcPr>
            <w:tcW w:type="dxa" w:w="2492"/>
          </w:tcPr>
          <w:p>
            <w:pPr>
              <w:pStyle w:val="null3"/>
            </w:pPr>
            <w:r>
              <w:rPr>
                <w:rFonts w:ascii="仿宋_GB2312" w:hAnsi="仿宋_GB2312" w:cs="仿宋_GB2312" w:eastAsia="仿宋_GB2312"/>
              </w:rPr>
              <w:t>根据供应商提出有利于采购人降低会务成本及提高服务质量且切实可行措施承诺。 方案对评审内容中的要求有详细描述及说明得4分，内容存在一处缺陷扣1分，扣完为止。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7服务能力2.docx</w:t>
            </w:r>
          </w:p>
        </w:tc>
      </w:tr>
      <w:tr>
        <w:tc>
          <w:tcPr>
            <w:tcW w:type="dxa" w:w="831"/>
            <w:vMerge/>
          </w:tcPr>
          <w:p/>
        </w:tc>
        <w:tc>
          <w:tcPr>
            <w:tcW w:type="dxa" w:w="1661"/>
          </w:tcPr>
          <w:p>
            <w:pPr>
              <w:pStyle w:val="null3"/>
            </w:pPr>
            <w:r>
              <w:rPr>
                <w:rFonts w:ascii="仿宋_GB2312" w:hAnsi="仿宋_GB2312" w:cs="仿宋_GB2312" w:eastAsia="仿宋_GB2312"/>
              </w:rPr>
              <w:t>资源保障</w:t>
            </w:r>
          </w:p>
        </w:tc>
        <w:tc>
          <w:tcPr>
            <w:tcW w:type="dxa" w:w="2492"/>
          </w:tcPr>
          <w:p>
            <w:pPr>
              <w:pStyle w:val="null3"/>
            </w:pPr>
            <w:r>
              <w:rPr>
                <w:rFonts w:ascii="仿宋_GB2312" w:hAnsi="仿宋_GB2312" w:cs="仿宋_GB2312" w:eastAsia="仿宋_GB2312"/>
              </w:rPr>
              <w:t>根据供应商针对本项目提供的资源保障进行综合评审，内容包括①场地资源保障②人力配置保障③物料物资保障。 方案对评审内容中的各项要求有详细描述及说明得9分，每有一项缺项扣3分，每有一项内容存在一处缺陷扣1分，扣完为止。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8资源保障.docx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根据供应商针对本项目提供的应急预案进行综合评审，内容包括①应急组织框架②应急沟通机制及风险应对措施③应急响应与善后复盘。 方案对评审内容中的各项要求有详细描述及说明得6分，每有一项缺项扣2分，每有一项内容存在一处缺陷扣0.5分，扣完为止。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提供供应商2023年1月至今同类项目合同及验收资料（以合同签订日期为准），每提供1个得2分，最高得8分。 备注：响应文件中提供合同复印件加盖公章。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供应商针对本项目提出的有利于项目实施的其他服务承诺，经磋商小组认定每提供一条得1分，最高得3分。未提供不得分。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详见附件：服务响应与偏离表.docx</w:t>
      </w:r>
    </w:p>
    <w:p>
      <w:pPr>
        <w:pStyle w:val="null3"/>
        <w:ind w:firstLine="960"/>
      </w:pPr>
      <w:r>
        <w:rPr>
          <w:rFonts w:ascii="仿宋_GB2312" w:hAnsi="仿宋_GB2312" w:cs="仿宋_GB2312" w:eastAsia="仿宋_GB2312"/>
        </w:rPr>
        <w:t>详见附件：1项目理解.docx</w:t>
      </w:r>
    </w:p>
    <w:p>
      <w:pPr>
        <w:pStyle w:val="null3"/>
        <w:ind w:firstLine="960"/>
      </w:pPr>
      <w:r>
        <w:rPr>
          <w:rFonts w:ascii="仿宋_GB2312" w:hAnsi="仿宋_GB2312" w:cs="仿宋_GB2312" w:eastAsia="仿宋_GB2312"/>
        </w:rPr>
        <w:t>详见附件：2总体设计.docx</w:t>
      </w:r>
    </w:p>
    <w:p>
      <w:pPr>
        <w:pStyle w:val="null3"/>
        <w:ind w:firstLine="960"/>
      </w:pPr>
      <w:r>
        <w:rPr>
          <w:rFonts w:ascii="仿宋_GB2312" w:hAnsi="仿宋_GB2312" w:cs="仿宋_GB2312" w:eastAsia="仿宋_GB2312"/>
        </w:rPr>
        <w:t>详见附件：3服务方案.docx</w:t>
      </w:r>
    </w:p>
    <w:p>
      <w:pPr>
        <w:pStyle w:val="null3"/>
        <w:ind w:firstLine="960"/>
      </w:pPr>
      <w:r>
        <w:rPr>
          <w:rFonts w:ascii="仿宋_GB2312" w:hAnsi="仿宋_GB2312" w:cs="仿宋_GB2312" w:eastAsia="仿宋_GB2312"/>
        </w:rPr>
        <w:t>详见附件：4项目负责人.docx</w:t>
      </w:r>
    </w:p>
    <w:p>
      <w:pPr>
        <w:pStyle w:val="null3"/>
        <w:ind w:firstLine="960"/>
      </w:pPr>
      <w:r>
        <w:rPr>
          <w:rFonts w:ascii="仿宋_GB2312" w:hAnsi="仿宋_GB2312" w:cs="仿宋_GB2312" w:eastAsia="仿宋_GB2312"/>
        </w:rPr>
        <w:t>详见附件：5团队人员.docx</w:t>
      </w:r>
    </w:p>
    <w:p>
      <w:pPr>
        <w:pStyle w:val="null3"/>
        <w:ind w:firstLine="960"/>
      </w:pPr>
      <w:r>
        <w:rPr>
          <w:rFonts w:ascii="仿宋_GB2312" w:hAnsi="仿宋_GB2312" w:cs="仿宋_GB2312" w:eastAsia="仿宋_GB2312"/>
        </w:rPr>
        <w:t>详见附件：6服务能力1.docx</w:t>
      </w:r>
    </w:p>
    <w:p>
      <w:pPr>
        <w:pStyle w:val="null3"/>
        <w:ind w:firstLine="960"/>
      </w:pPr>
      <w:r>
        <w:rPr>
          <w:rFonts w:ascii="仿宋_GB2312" w:hAnsi="仿宋_GB2312" w:cs="仿宋_GB2312" w:eastAsia="仿宋_GB2312"/>
        </w:rPr>
        <w:t>详见附件：7服务能力2.docx</w:t>
      </w:r>
    </w:p>
    <w:p>
      <w:pPr>
        <w:pStyle w:val="null3"/>
        <w:ind w:firstLine="960"/>
      </w:pPr>
      <w:r>
        <w:rPr>
          <w:rFonts w:ascii="仿宋_GB2312" w:hAnsi="仿宋_GB2312" w:cs="仿宋_GB2312" w:eastAsia="仿宋_GB2312"/>
        </w:rPr>
        <w:t>详见附件：8资源保障.docx</w:t>
      </w:r>
    </w:p>
    <w:p>
      <w:pPr>
        <w:pStyle w:val="null3"/>
        <w:ind w:firstLine="960"/>
      </w:pPr>
      <w:r>
        <w:rPr>
          <w:rFonts w:ascii="仿宋_GB2312" w:hAnsi="仿宋_GB2312" w:cs="仿宋_GB2312" w:eastAsia="仿宋_GB2312"/>
        </w:rPr>
        <w:t>详见附件：9应急预案.docx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详见附件：11服务承诺.docx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