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版本号：LZC-A260311Y20260327001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CT球管采购项目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LZC-A260311Y</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陕西立泽诚项目管理有限公司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陕西立泽诚项目管理有限公司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CT球管采购项目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LZC-A260311Y</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CT球管采购项目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CT球管采购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提供2024或2025年度经审计的完整的财务报告（至少包括三表一注，即资产负债表、利润表、现金流量表及其附注）；事业法人提供部门决算报告；/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p>
      <w:pPr>
        <w:pStyle w:val="null3"/>
      </w:pPr>
      <w:r>
        <w:rPr>
          <w:rFonts w:ascii="仿宋_GB2312" w:hAnsi="仿宋_GB2312" w:cs="仿宋_GB2312" w:eastAsia="仿宋_GB2312"/>
        </w:rPr>
        <w:t>3、具有履行本合同所必需的设备和专业技术能力：提供具有履行合同所必需的设备和专业技术能力的承诺书</w:t>
      </w:r>
    </w:p>
    <w:p>
      <w:pPr>
        <w:pStyle w:val="null3"/>
      </w:pPr>
      <w:r>
        <w:rPr>
          <w:rFonts w:ascii="仿宋_GB2312" w:hAnsi="仿宋_GB2312" w:cs="仿宋_GB2312" w:eastAsia="仿宋_GB2312"/>
        </w:rPr>
        <w:t>4、税收缴纳证明：提供缴费所属日期为投标截止时间前12个月内任意一个月（投标截止时间当月不计入）的增值税（或所得税）缴费凭据或税务机关出具的完税证明/在法规范围内不需提供的应出具书面说明和证明文件； /或具有依法缴纳税收的诚信声明； 以上二种形式的资料提供任何一种即可</w:t>
      </w:r>
    </w:p>
    <w:p>
      <w:pPr>
        <w:pStyle w:val="null3"/>
      </w:pPr>
      <w:r>
        <w:rPr>
          <w:rFonts w:ascii="仿宋_GB2312" w:hAnsi="仿宋_GB2312" w:cs="仿宋_GB2312" w:eastAsia="仿宋_GB2312"/>
        </w:rPr>
        <w:t>5、社会保障资金缴纳证明：提供缴费所属日期为投标截止时间前12个月内任意一个月（投标截止时间当月不计入）的缴费凭据或社保机关出具的缴费证明/在法规范围内不需提供的应出具书面说明和证明文件；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7、合法授权：供应商应授权合法的人员参加磋商，其中法定代表人直接参加的须出具法定代表人身份证并与营业执照上信息一致，法定代表人授权代表参加的须出具法定代表人授权书及被授权人本单位证明 (近三个月内任意一个月社保缴纳证明)。</w:t>
      </w:r>
    </w:p>
    <w:p>
      <w:pPr>
        <w:pStyle w:val="null3"/>
      </w:pPr>
      <w:r>
        <w:rPr>
          <w:rFonts w:ascii="仿宋_GB2312" w:hAnsi="仿宋_GB2312" w:cs="仿宋_GB2312" w:eastAsia="仿宋_GB2312"/>
        </w:rPr>
        <w:t>8、投标人承诺函：投标人与交叉控股股东、交叉兼任高管的其他投标人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提供承诺函）</w:t>
      </w:r>
    </w:p>
    <w:p>
      <w:pPr>
        <w:pStyle w:val="null3"/>
      </w:pPr>
      <w:r>
        <w:rPr>
          <w:rFonts w:ascii="仿宋_GB2312" w:hAnsi="仿宋_GB2312" w:cs="仿宋_GB2312" w:eastAsia="仿宋_GB2312"/>
        </w:rPr>
        <w:t>9、信用信息：供应商不得为“信用中国”网站（www.creditchina.gov.cn）列入失信被执行人、重大税收违法失信主体、不得为“中国政府采购网”（www.ccgp.gov.cn）政府采购严重违法失信行为记录名单中的供应商。</w:t>
      </w:r>
    </w:p>
    <w:p>
      <w:pPr>
        <w:pStyle w:val="null3"/>
      </w:pPr>
      <w:r>
        <w:rPr>
          <w:rFonts w:ascii="仿宋_GB2312" w:hAnsi="仿宋_GB2312" w:cs="仿宋_GB2312" w:eastAsia="仿宋_GB2312"/>
        </w:rPr>
        <w:t>10、供应商资质：（1）供应商为生产厂家须提供有效的《医疗器械生产许可证》或《医疗器械生产备案凭证》，同时具备《医疗器械经营许可证》或《医疗器械经营备案凭证 》。 （2）供应商为代理商或经销商的须提供有效的《医疗器械经营许可证》或《医疗器械经营备案凭证 》及生产厂家有效的《医疗器械生产许可证》或《医疗器械生产备案凭证》。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西安市第三医院经办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陕西立泽诚项目管理有限公司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陕西省西安市未央区陕西省西安市经济技术开发区未央路138-1号中登大厦A座19F-02室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15191373811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代理服务费收费标准：成交服务费按国家发展和改革委员会《招标代理服务收费暂行办法》（计价格[2002]1980号）及相关规定基准计算下浮20%收取。在中标人确定后收取，由中标人领取通知书前支付。 服务费缴纳账户： 户名：陕西立泽诚项目管理有限公司 开户行：交通银行股份有限公司西安城西支行 账号：611301071013001248832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陕西立泽诚项目管理有限公司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陕西立泽诚项目管理有限公司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陕西立泽诚项目管理有限公司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满足国家及行业相关标准及要求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陕西立泽诚项目管理有限公司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陕西立泽诚项目管理有限公司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陕西立泽诚项目管理有限公司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联系电话：15191373811</w:t>
      </w:r>
    </w:p>
    <w:p>
      <w:pPr>
        <w:pStyle w:val="null3"/>
      </w:pPr>
      <w:r>
        <w:rPr>
          <w:rFonts w:ascii="仿宋_GB2312" w:hAnsi="仿宋_GB2312" w:cs="仿宋_GB2312" w:eastAsia="仿宋_GB2312"/>
        </w:rPr>
        <w:t>地址：陕西省西安市中登文景大厦B座2208室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CT球管采购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西安市第三医院医疗设备（GE64排 Optima CT680球管一支）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支</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标的名称：西安市第三医院医疗设备（GE64排 Optima CT680球管一支）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标称</w:t>
            </w:r>
            <w:r>
              <w:rPr>
                <w:rFonts w:ascii="仿宋_GB2312" w:hAnsi="仿宋_GB2312" w:cs="仿宋_GB2312" w:eastAsia="仿宋_GB2312"/>
                <w:sz w:val="21"/>
              </w:rPr>
              <w:t>X</w:t>
            </w:r>
            <w:r>
              <w:rPr>
                <w:rFonts w:ascii="仿宋_GB2312" w:hAnsi="仿宋_GB2312" w:cs="仿宋_GB2312" w:eastAsia="仿宋_GB2312"/>
                <w:sz w:val="21"/>
              </w:rPr>
              <w:t>射线管电压：</w:t>
            </w:r>
            <w:r>
              <w:rPr>
                <w:rFonts w:ascii="仿宋_GB2312" w:hAnsi="仿宋_GB2312" w:cs="仿宋_GB2312" w:eastAsia="仿宋_GB2312"/>
                <w:sz w:val="21"/>
              </w:rPr>
              <w:t>≥</w:t>
            </w:r>
            <w:r>
              <w:rPr>
                <w:rFonts w:ascii="仿宋_GB2312" w:hAnsi="仿宋_GB2312" w:cs="仿宋_GB2312" w:eastAsia="仿宋_GB2312"/>
                <w:sz w:val="21"/>
              </w:rPr>
              <w:t>140 kV</w:t>
            </w:r>
          </w:p>
          <w:p>
            <w:pPr>
              <w:pStyle w:val="null3"/>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标称阳极输入功率</w:t>
            </w:r>
            <w:r>
              <w:rPr>
                <w:rFonts w:ascii="仿宋_GB2312" w:hAnsi="仿宋_GB2312" w:cs="仿宋_GB2312" w:eastAsia="仿宋_GB2312"/>
                <w:sz w:val="21"/>
              </w:rPr>
              <w:t xml:space="preserve">/ </w:t>
            </w:r>
            <w:r>
              <w:rPr>
                <w:rFonts w:ascii="仿宋_GB2312" w:hAnsi="仿宋_GB2312" w:cs="仿宋_GB2312" w:eastAsia="仿宋_GB2312"/>
                <w:sz w:val="21"/>
              </w:rPr>
              <w:t>管组件标称功率：小焦点：</w:t>
            </w:r>
            <w:r>
              <w:rPr>
                <w:rFonts w:ascii="仿宋_GB2312" w:hAnsi="仿宋_GB2312" w:cs="仿宋_GB2312" w:eastAsia="仿宋_GB2312"/>
                <w:sz w:val="21"/>
              </w:rPr>
              <w:t>≥</w:t>
            </w:r>
            <w:r>
              <w:rPr>
                <w:rFonts w:ascii="仿宋_GB2312" w:hAnsi="仿宋_GB2312" w:cs="仿宋_GB2312" w:eastAsia="仿宋_GB2312"/>
                <w:sz w:val="21"/>
              </w:rPr>
              <w:t xml:space="preserve">24 kW </w:t>
            </w:r>
            <w:r>
              <w:rPr>
                <w:rFonts w:ascii="仿宋_GB2312" w:hAnsi="仿宋_GB2312" w:cs="仿宋_GB2312" w:eastAsia="仿宋_GB2312"/>
                <w:sz w:val="21"/>
              </w:rPr>
              <w:t>，大焦点：</w:t>
            </w:r>
            <w:r>
              <w:rPr>
                <w:rFonts w:ascii="仿宋_GB2312" w:hAnsi="仿宋_GB2312" w:cs="仿宋_GB2312" w:eastAsia="仿宋_GB2312"/>
                <w:sz w:val="21"/>
              </w:rPr>
              <w:t>≥</w:t>
            </w:r>
            <w:r>
              <w:rPr>
                <w:rFonts w:ascii="仿宋_GB2312" w:hAnsi="仿宋_GB2312" w:cs="仿宋_GB2312" w:eastAsia="仿宋_GB2312"/>
                <w:sz w:val="21"/>
              </w:rPr>
              <w:t>72 kW</w:t>
            </w:r>
          </w:p>
          <w:p>
            <w:pPr>
              <w:pStyle w:val="null3"/>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焦点标称值：小焦点尺寸：</w:t>
            </w:r>
            <w:r>
              <w:rPr>
                <w:rFonts w:ascii="仿宋_GB2312" w:hAnsi="仿宋_GB2312" w:cs="仿宋_GB2312" w:eastAsia="仿宋_GB2312"/>
                <w:sz w:val="21"/>
              </w:rPr>
              <w:t>≤</w:t>
            </w:r>
            <w:r>
              <w:rPr>
                <w:rFonts w:ascii="仿宋_GB2312" w:hAnsi="仿宋_GB2312" w:cs="仿宋_GB2312" w:eastAsia="仿宋_GB2312"/>
                <w:sz w:val="21"/>
              </w:rPr>
              <w:t>0.9mmX0.7mm</w:t>
            </w:r>
            <w:r>
              <w:rPr>
                <w:rFonts w:ascii="仿宋_GB2312" w:hAnsi="仿宋_GB2312" w:cs="仿宋_GB2312" w:eastAsia="仿宋_GB2312"/>
                <w:sz w:val="21"/>
              </w:rPr>
              <w:t>，大焦点尺寸：</w:t>
            </w:r>
            <w:r>
              <w:rPr>
                <w:rFonts w:ascii="仿宋_GB2312" w:hAnsi="仿宋_GB2312" w:cs="仿宋_GB2312" w:eastAsia="仿宋_GB2312"/>
                <w:sz w:val="21"/>
              </w:rPr>
              <w:t>≥</w:t>
            </w:r>
            <w:r>
              <w:rPr>
                <w:rFonts w:ascii="仿宋_GB2312" w:hAnsi="仿宋_GB2312" w:cs="仿宋_GB2312" w:eastAsia="仿宋_GB2312"/>
                <w:sz w:val="21"/>
              </w:rPr>
              <w:t>1.2mmX1.1mm</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标称</w:t>
            </w:r>
            <w:r>
              <w:rPr>
                <w:rFonts w:ascii="仿宋_GB2312" w:hAnsi="仿宋_GB2312" w:cs="仿宋_GB2312" w:eastAsia="仿宋_GB2312"/>
                <w:sz w:val="21"/>
              </w:rPr>
              <w:t>CT扫描功率指数：小焦点：≥ 24 kW，大焦点：≥55.1 kW</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灯丝电流：</w:t>
            </w:r>
            <w:r>
              <w:rPr>
                <w:rFonts w:ascii="仿宋_GB2312" w:hAnsi="仿宋_GB2312" w:cs="仿宋_GB2312" w:eastAsia="仿宋_GB2312"/>
                <w:sz w:val="21"/>
              </w:rPr>
              <w:t>F1：≤6.54A，F2：≤6.15A</w:t>
            </w:r>
          </w:p>
          <w:p>
            <w:pPr>
              <w:pStyle w:val="null3"/>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最大阳极热容量：</w:t>
            </w:r>
            <w:r>
              <w:rPr>
                <w:rFonts w:ascii="仿宋_GB2312" w:hAnsi="仿宋_GB2312" w:cs="仿宋_GB2312" w:eastAsia="仿宋_GB2312"/>
                <w:sz w:val="21"/>
              </w:rPr>
              <w:t>≥5MJ(7.0MHU)</w:t>
            </w:r>
          </w:p>
          <w:p>
            <w:pPr>
              <w:pStyle w:val="null3"/>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X射线管组件热容量：≥7.7MJ（10.8MHU）</w:t>
            </w:r>
          </w:p>
          <w:p>
            <w:pPr>
              <w:pStyle w:val="null3"/>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阳极靶面角度：</w:t>
            </w:r>
            <w:r>
              <w:rPr>
                <w:rFonts w:ascii="仿宋_GB2312" w:hAnsi="仿宋_GB2312" w:cs="仿宋_GB2312" w:eastAsia="仿宋_GB2312"/>
                <w:sz w:val="21"/>
              </w:rPr>
              <w:t>7.0°</w:t>
            </w:r>
          </w:p>
          <w:p>
            <w:pPr>
              <w:pStyle w:val="null3"/>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连续阳极输入功率：</w:t>
            </w:r>
            <w:r>
              <w:rPr>
                <w:rFonts w:ascii="仿宋_GB2312" w:hAnsi="仿宋_GB2312" w:cs="仿宋_GB2312" w:eastAsia="仿宋_GB2312"/>
                <w:sz w:val="21"/>
              </w:rPr>
              <w:t>≥3.5 kW</w:t>
            </w:r>
          </w:p>
          <w:p>
            <w:pPr>
              <w:pStyle w:val="null3"/>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最大</w:t>
            </w:r>
            <w:r>
              <w:rPr>
                <w:rFonts w:ascii="仿宋_GB2312" w:hAnsi="仿宋_GB2312" w:cs="仿宋_GB2312" w:eastAsia="仿宋_GB2312"/>
                <w:sz w:val="21"/>
              </w:rPr>
              <w:t>X射线管组件热耗散：≥4.8 kW</w:t>
            </w:r>
          </w:p>
          <w:p>
            <w:pPr>
              <w:pStyle w:val="null3"/>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重量：</w:t>
            </w:r>
            <w:r>
              <w:rPr>
                <w:rFonts w:ascii="仿宋_GB2312" w:hAnsi="仿宋_GB2312" w:cs="仿宋_GB2312" w:eastAsia="仿宋_GB2312"/>
                <w:sz w:val="21"/>
              </w:rPr>
              <w:t>91kg ±0.5kg</w:t>
            </w:r>
          </w:p>
          <w:p>
            <w:pPr>
              <w:pStyle w:val="null3"/>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冷却方式：油冷</w:t>
            </w:r>
          </w:p>
          <w:p>
            <w:pPr>
              <w:pStyle w:val="null3"/>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绝缘油耐压强度：</w:t>
            </w:r>
            <w:r>
              <w:rPr>
                <w:rFonts w:ascii="仿宋_GB2312" w:hAnsi="仿宋_GB2312" w:cs="仿宋_GB2312" w:eastAsia="仿宋_GB2312"/>
                <w:sz w:val="21"/>
              </w:rPr>
              <w:t>35kV/2.5mm</w:t>
            </w:r>
          </w:p>
          <w:p>
            <w:pPr>
              <w:pStyle w:val="null3"/>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绝缘油流量：</w:t>
            </w:r>
            <w:r>
              <w:rPr>
                <w:rFonts w:ascii="仿宋_GB2312" w:hAnsi="仿宋_GB2312" w:cs="仿宋_GB2312" w:eastAsia="仿宋_GB2312"/>
                <w:sz w:val="21"/>
              </w:rPr>
              <w:t>≥ 5 L/min</w:t>
            </w:r>
          </w:p>
          <w:p>
            <w:pPr>
              <w:pStyle w:val="null3"/>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以辐射值为特征的靶面材料：</w:t>
            </w:r>
            <w:r>
              <w:rPr>
                <w:rFonts w:ascii="仿宋_GB2312" w:hAnsi="仿宋_GB2312" w:cs="仿宋_GB2312" w:eastAsia="仿宋_GB2312"/>
                <w:sz w:val="21"/>
              </w:rPr>
              <w:t>TZM基体 WRE合金靶</w:t>
            </w:r>
          </w:p>
          <w:p>
            <w:pPr>
              <w:pStyle w:val="null3"/>
            </w:pP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120kV</w:t>
            </w:r>
            <w:r>
              <w:rPr>
                <w:rFonts w:ascii="仿宋_GB2312" w:hAnsi="仿宋_GB2312" w:cs="仿宋_GB2312" w:eastAsia="仿宋_GB2312"/>
                <w:sz w:val="21"/>
              </w:rPr>
              <w:t>时最大毫安输出：</w:t>
            </w:r>
            <w:r>
              <w:rPr>
                <w:rFonts w:ascii="仿宋_GB2312" w:hAnsi="仿宋_GB2312" w:cs="仿宋_GB2312" w:eastAsia="仿宋_GB2312"/>
                <w:sz w:val="21"/>
              </w:rPr>
              <w:t>≥</w:t>
            </w:r>
            <w:r>
              <w:rPr>
                <w:rFonts w:ascii="仿宋_GB2312" w:hAnsi="仿宋_GB2312" w:cs="仿宋_GB2312" w:eastAsia="仿宋_GB2312"/>
                <w:sz w:val="21"/>
              </w:rPr>
              <w:t>600mA</w:t>
            </w:r>
          </w:p>
          <w:p>
            <w:pPr>
              <w:pStyle w:val="null3"/>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阳极直径：</w:t>
            </w:r>
            <w:r>
              <w:rPr>
                <w:rFonts w:ascii="仿宋_GB2312" w:hAnsi="仿宋_GB2312" w:cs="仿宋_GB2312" w:eastAsia="仿宋_GB2312"/>
                <w:sz w:val="21"/>
              </w:rPr>
              <w:t>≥19</w:t>
            </w:r>
            <w:r>
              <w:rPr>
                <w:rFonts w:ascii="仿宋_GB2312" w:hAnsi="仿宋_GB2312" w:cs="仿宋_GB2312" w:eastAsia="仿宋_GB2312"/>
                <w:sz w:val="21"/>
              </w:rPr>
              <w:t>0mm</w:t>
            </w:r>
          </w:p>
          <w:p>
            <w:pPr>
              <w:pStyle w:val="null3"/>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最长扫描时间（在</w:t>
            </w:r>
            <w:r>
              <w:rPr>
                <w:rFonts w:ascii="仿宋_GB2312" w:hAnsi="仿宋_GB2312" w:cs="仿宋_GB2312" w:eastAsia="仿宋_GB2312"/>
                <w:sz w:val="21"/>
              </w:rPr>
              <w:t>140HZ,120kV/140 kV</w:t>
            </w:r>
            <w:r>
              <w:rPr>
                <w:rFonts w:ascii="仿宋_GB2312" w:hAnsi="仿宋_GB2312" w:cs="仿宋_GB2312" w:eastAsia="仿宋_GB2312"/>
                <w:sz w:val="21"/>
              </w:rPr>
              <w:t>条件下）：</w:t>
            </w:r>
            <w:r>
              <w:rPr>
                <w:rFonts w:ascii="仿宋_GB2312" w:hAnsi="仿宋_GB2312" w:cs="仿宋_GB2312" w:eastAsia="仿宋_GB2312"/>
                <w:sz w:val="21"/>
              </w:rPr>
              <w:t>≥</w:t>
            </w:r>
            <w:r>
              <w:rPr>
                <w:rFonts w:ascii="仿宋_GB2312" w:hAnsi="仿宋_GB2312" w:cs="仿宋_GB2312" w:eastAsia="仿宋_GB2312"/>
                <w:sz w:val="21"/>
              </w:rPr>
              <w:t>120s</w:t>
            </w:r>
          </w:p>
          <w:p>
            <w:pPr>
              <w:pStyle w:val="null3"/>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X射线固有滤过：≥4.9mm AL/140KV</w:t>
            </w:r>
          </w:p>
          <w:p>
            <w:pPr>
              <w:pStyle w:val="null3"/>
            </w:pP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泄漏辐射：＜</w:t>
            </w:r>
            <w:r>
              <w:rPr>
                <w:rFonts w:ascii="仿宋_GB2312" w:hAnsi="仿宋_GB2312" w:cs="仿宋_GB2312" w:eastAsia="仿宋_GB2312"/>
                <w:sz w:val="21"/>
              </w:rPr>
              <w:t>0.88mGy/h（25mA，140KV）</w:t>
            </w:r>
          </w:p>
          <w:p>
            <w:pPr>
              <w:pStyle w:val="null3"/>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准直器法兰距离焦点：</w:t>
            </w:r>
            <w:r>
              <w:rPr>
                <w:rFonts w:ascii="仿宋_GB2312" w:hAnsi="仿宋_GB2312" w:cs="仿宋_GB2312" w:eastAsia="仿宋_GB2312"/>
                <w:sz w:val="21"/>
              </w:rPr>
              <w:t>≤60.</w:t>
            </w:r>
            <w:r>
              <w:rPr>
                <w:rFonts w:ascii="仿宋_GB2312" w:hAnsi="仿宋_GB2312" w:cs="仿宋_GB2312" w:eastAsia="仿宋_GB2312"/>
                <w:sz w:val="21"/>
              </w:rPr>
              <w:t>5</w:t>
            </w:r>
            <w:r>
              <w:rPr>
                <w:rFonts w:ascii="仿宋_GB2312" w:hAnsi="仿宋_GB2312" w:cs="仿宋_GB2312" w:eastAsia="仿宋_GB2312"/>
                <w:sz w:val="21"/>
              </w:rPr>
              <w:t>mm</w:t>
            </w:r>
          </w:p>
          <w:p>
            <w:pPr>
              <w:pStyle w:val="null3"/>
            </w:pPr>
            <w:r>
              <w:rPr>
                <w:rFonts w:ascii="仿宋_GB2312" w:hAnsi="仿宋_GB2312" w:cs="仿宋_GB2312" w:eastAsia="仿宋_GB2312"/>
                <w:sz w:val="21"/>
              </w:rPr>
              <w:t>22</w:t>
            </w:r>
            <w:r>
              <w:rPr>
                <w:rFonts w:ascii="仿宋_GB2312" w:hAnsi="仿宋_GB2312" w:cs="仿宋_GB2312" w:eastAsia="仿宋_GB2312"/>
                <w:sz w:val="21"/>
              </w:rPr>
              <w:t>、</w:t>
            </w:r>
            <w:r>
              <w:rPr>
                <w:rFonts w:ascii="仿宋_GB2312" w:hAnsi="仿宋_GB2312" w:cs="仿宋_GB2312" w:eastAsia="仿宋_GB2312"/>
                <w:sz w:val="21"/>
              </w:rPr>
              <w:t>机架</w:t>
            </w:r>
            <w:r>
              <w:rPr>
                <w:rFonts w:ascii="仿宋_GB2312" w:hAnsi="仿宋_GB2312" w:cs="仿宋_GB2312" w:eastAsia="仿宋_GB2312"/>
                <w:sz w:val="21"/>
              </w:rPr>
              <w:t>ISO中心处的X射线束宽度：≥40mm</w:t>
            </w:r>
          </w:p>
          <w:p>
            <w:pPr>
              <w:pStyle w:val="null3"/>
            </w:pP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灯丝频率：</w:t>
            </w:r>
            <w:r>
              <w:rPr>
                <w:rFonts w:ascii="仿宋_GB2312" w:hAnsi="仿宋_GB2312" w:cs="仿宋_GB2312" w:eastAsia="仿宋_GB2312"/>
                <w:sz w:val="21"/>
              </w:rPr>
              <w:t>50Hz~25kHz</w:t>
            </w:r>
          </w:p>
          <w:p>
            <w:pPr>
              <w:pStyle w:val="null3"/>
            </w:pP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最大旋转阳极频率：</w:t>
            </w:r>
            <w:r>
              <w:rPr>
                <w:rFonts w:ascii="仿宋_GB2312" w:hAnsi="仿宋_GB2312" w:cs="仿宋_GB2312" w:eastAsia="仿宋_GB2312"/>
                <w:sz w:val="21"/>
              </w:rPr>
              <w:t>≥140Hz</w:t>
            </w:r>
          </w:p>
          <w:p>
            <w:pPr>
              <w:pStyle w:val="null3"/>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液态金属轴承</w:t>
            </w:r>
            <w:r>
              <w:rPr>
                <w:rFonts w:ascii="仿宋_GB2312" w:hAnsi="仿宋_GB2312" w:cs="仿宋_GB2312" w:eastAsia="仿宋_GB2312"/>
                <w:sz w:val="21"/>
              </w:rPr>
              <w:t>，</w:t>
            </w:r>
            <w:r>
              <w:rPr>
                <w:rFonts w:ascii="仿宋_GB2312" w:hAnsi="仿宋_GB2312" w:cs="仿宋_GB2312" w:eastAsia="仿宋_GB2312"/>
                <w:sz w:val="21"/>
              </w:rPr>
              <w:t>提供证明材料</w:t>
            </w:r>
          </w:p>
          <w:p>
            <w:pPr>
              <w:pStyle w:val="null3"/>
            </w:pPr>
            <w:r>
              <w:rPr>
                <w:rFonts w:ascii="仿宋_GB2312" w:hAnsi="仿宋_GB2312" w:cs="仿宋_GB2312" w:eastAsia="仿宋_GB2312"/>
                <w:sz w:val="21"/>
              </w:rPr>
              <w:t>本次项目采购</w:t>
            </w:r>
            <w:r>
              <w:rPr>
                <w:rFonts w:ascii="仿宋_GB2312" w:hAnsi="仿宋_GB2312" w:cs="仿宋_GB2312" w:eastAsia="仿宋_GB2312"/>
                <w:sz w:val="21"/>
              </w:rPr>
              <w:t>CT球管</w:t>
            </w:r>
            <w:r>
              <w:rPr>
                <w:rFonts w:ascii="仿宋_GB2312" w:hAnsi="仿宋_GB2312" w:cs="仿宋_GB2312" w:eastAsia="仿宋_GB2312"/>
                <w:sz w:val="21"/>
              </w:rPr>
              <w:t>一支，并</w:t>
            </w:r>
            <w:r>
              <w:rPr>
                <w:rFonts w:ascii="仿宋_GB2312" w:hAnsi="仿宋_GB2312" w:cs="仿宋_GB2312" w:eastAsia="仿宋_GB2312"/>
                <w:sz w:val="21"/>
              </w:rPr>
              <w:t>包含球管的运输、安装</w:t>
            </w:r>
            <w:r>
              <w:rPr>
                <w:rFonts w:ascii="仿宋_GB2312" w:hAnsi="仿宋_GB2312" w:cs="仿宋_GB2312" w:eastAsia="仿宋_GB2312"/>
                <w:sz w:val="21"/>
              </w:rPr>
              <w:t>、</w:t>
            </w:r>
            <w:r>
              <w:rPr>
                <w:rFonts w:ascii="仿宋_GB2312" w:hAnsi="仿宋_GB2312" w:cs="仿宋_GB2312" w:eastAsia="仿宋_GB2312"/>
                <w:sz w:val="21"/>
              </w:rPr>
              <w:t>调试</w:t>
            </w:r>
            <w:r>
              <w:rPr>
                <w:rFonts w:ascii="仿宋_GB2312" w:hAnsi="仿宋_GB2312" w:cs="仿宋_GB2312" w:eastAsia="仿宋_GB2312"/>
                <w:sz w:val="21"/>
              </w:rPr>
              <w:t>及服务期内</w:t>
            </w:r>
            <w:r>
              <w:rPr>
                <w:rFonts w:ascii="仿宋_GB2312" w:hAnsi="仿宋_GB2312" w:cs="仿宋_GB2312" w:eastAsia="仿宋_GB2312"/>
                <w:sz w:val="21"/>
              </w:rPr>
              <w:t>CT机</w:t>
            </w:r>
            <w:r>
              <w:rPr>
                <w:rFonts w:ascii="仿宋_GB2312" w:hAnsi="仿宋_GB2312" w:cs="仿宋_GB2312" w:eastAsia="仿宋_GB2312"/>
                <w:sz w:val="21"/>
              </w:rPr>
              <w:t>的维修和保养等。球管质保期同服务期，</w:t>
            </w:r>
            <w:r>
              <w:rPr>
                <w:rFonts w:ascii="仿宋_GB2312" w:hAnsi="仿宋_GB2312" w:cs="仿宋_GB2312" w:eastAsia="仿宋_GB2312"/>
                <w:sz w:val="21"/>
              </w:rPr>
              <w:t>设</w:t>
            </w:r>
            <w:r>
              <w:rPr>
                <w:rFonts w:ascii="仿宋_GB2312" w:hAnsi="仿宋_GB2312" w:cs="仿宋_GB2312" w:eastAsia="仿宋_GB2312"/>
                <w:sz w:val="21"/>
              </w:rPr>
              <w:t>备交付时，出厂日期不</w:t>
            </w:r>
            <w:r>
              <w:rPr>
                <w:rFonts w:ascii="仿宋_GB2312" w:hAnsi="仿宋_GB2312" w:cs="仿宋_GB2312" w:eastAsia="仿宋_GB2312"/>
                <w:sz w:val="21"/>
              </w:rPr>
              <w:t>得</w:t>
            </w:r>
            <w:r>
              <w:rPr>
                <w:rFonts w:ascii="仿宋_GB2312" w:hAnsi="仿宋_GB2312" w:cs="仿宋_GB2312" w:eastAsia="仿宋_GB2312"/>
                <w:sz w:val="21"/>
              </w:rPr>
              <w:t>超过</w:t>
            </w:r>
            <w:r>
              <w:rPr>
                <w:rFonts w:ascii="仿宋_GB2312" w:hAnsi="仿宋_GB2312" w:cs="仿宋_GB2312" w:eastAsia="仿宋_GB2312"/>
                <w:sz w:val="21"/>
              </w:rPr>
              <w:t>2</w:t>
            </w:r>
            <w:r>
              <w:rPr>
                <w:rFonts w:ascii="仿宋_GB2312" w:hAnsi="仿宋_GB2312" w:cs="仿宋_GB2312" w:eastAsia="仿宋_GB2312"/>
                <w:sz w:val="21"/>
              </w:rPr>
              <w:t>个月</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维保要求：</w:t>
            </w:r>
          </w:p>
          <w:p>
            <w:pPr>
              <w:pStyle w:val="null3"/>
            </w:pPr>
            <w:r>
              <w:rPr>
                <w:rFonts w:ascii="仿宋_GB2312" w:hAnsi="仿宋_GB2312" w:cs="仿宋_GB2312" w:eastAsia="仿宋_GB2312"/>
                <w:sz w:val="21"/>
              </w:rPr>
              <w:t>1、维保清单说明：</w:t>
            </w:r>
          </w:p>
          <w:p>
            <w:pPr>
              <w:pStyle w:val="null3"/>
            </w:pPr>
            <w:r>
              <w:rPr>
                <w:rFonts w:ascii="仿宋_GB2312" w:hAnsi="仿宋_GB2312" w:cs="仿宋_GB2312" w:eastAsia="仿宋_GB2312"/>
                <w:sz w:val="21"/>
              </w:rPr>
              <w:t>提供</w:t>
            </w:r>
            <w:r>
              <w:rPr>
                <w:rFonts w:ascii="仿宋_GB2312" w:hAnsi="仿宋_GB2312" w:cs="仿宋_GB2312" w:eastAsia="仿宋_GB2312"/>
                <w:sz w:val="21"/>
              </w:rPr>
              <w:t>满足服务期的</w:t>
            </w:r>
            <w:r>
              <w:rPr>
                <w:rFonts w:ascii="仿宋_GB2312" w:hAnsi="仿宋_GB2312" w:cs="仿宋_GB2312" w:eastAsia="仿宋_GB2312"/>
                <w:sz w:val="21"/>
              </w:rPr>
              <w:t>维保服务；</w:t>
            </w:r>
          </w:p>
          <w:p>
            <w:pPr>
              <w:pStyle w:val="null3"/>
            </w:pPr>
            <w:r>
              <w:rPr>
                <w:rFonts w:ascii="仿宋_GB2312" w:hAnsi="仿宋_GB2312" w:cs="仿宋_GB2312" w:eastAsia="仿宋_GB2312"/>
                <w:sz w:val="21"/>
              </w:rPr>
              <w:t>2、服务</w:t>
            </w:r>
            <w:r>
              <w:rPr>
                <w:rFonts w:ascii="仿宋_GB2312" w:hAnsi="仿宋_GB2312" w:cs="仿宋_GB2312" w:eastAsia="仿宋_GB2312"/>
                <w:sz w:val="21"/>
              </w:rPr>
              <w:t>期内设备出现故障，</w:t>
            </w:r>
            <w:r>
              <w:rPr>
                <w:rFonts w:ascii="仿宋_GB2312" w:hAnsi="仿宋_GB2312" w:cs="仿宋_GB2312" w:eastAsia="仿宋_GB2312"/>
                <w:sz w:val="21"/>
              </w:rPr>
              <w:t>2 小时内应答，24 小时内到达现场</w:t>
            </w:r>
            <w:r>
              <w:rPr>
                <w:rFonts w:ascii="仿宋_GB2312" w:hAnsi="仿宋_GB2312" w:cs="仿宋_GB2312" w:eastAsia="仿宋_GB2312"/>
                <w:sz w:val="21"/>
              </w:rPr>
              <w:t>。</w:t>
            </w:r>
          </w:p>
          <w:p>
            <w:pPr>
              <w:pStyle w:val="null3"/>
            </w:pPr>
            <w:r>
              <w:rPr>
                <w:rFonts w:ascii="仿宋_GB2312" w:hAnsi="仿宋_GB2312" w:cs="仿宋_GB2312" w:eastAsia="仿宋_GB2312"/>
                <w:sz w:val="21"/>
              </w:rPr>
              <w:t>3、设备巡检：</w:t>
            </w:r>
          </w:p>
          <w:p>
            <w:pPr>
              <w:pStyle w:val="null3"/>
            </w:pPr>
            <w:r>
              <w:rPr>
                <w:rFonts w:ascii="仿宋_GB2312" w:hAnsi="仿宋_GB2312" w:cs="仿宋_GB2312" w:eastAsia="仿宋_GB2312"/>
                <w:sz w:val="21"/>
              </w:rPr>
              <w:t>每月一次的设备巡检，发现隐患及时解决。</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7×24技术支持小时服务</w:t>
            </w:r>
          </w:p>
          <w:p>
            <w:pPr>
              <w:pStyle w:val="null3"/>
            </w:pPr>
            <w:r>
              <w:rPr>
                <w:rFonts w:ascii="仿宋_GB2312" w:hAnsi="仿宋_GB2312" w:cs="仿宋_GB2312" w:eastAsia="仿宋_GB2312"/>
                <w:sz w:val="21"/>
              </w:rPr>
              <w:t>提供</w:t>
            </w:r>
            <w:r>
              <w:rPr>
                <w:rFonts w:ascii="仿宋_GB2312" w:hAnsi="仿宋_GB2312" w:cs="仿宋_GB2312" w:eastAsia="仿宋_GB2312"/>
                <w:sz w:val="21"/>
              </w:rPr>
              <w:t>7×24小时的免费技术支持。支持范围包括产品的功能、配置、安装、调试、客户使用中遇到的各种技术问题的一般性咨询，并随时准备处理各种突发事件；可通过电话、远程等方式。</w:t>
            </w:r>
          </w:p>
          <w:p>
            <w:pPr>
              <w:pStyle w:val="null3"/>
            </w:pPr>
            <w:r>
              <w:rPr>
                <w:rFonts w:ascii="仿宋_GB2312" w:hAnsi="仿宋_GB2312" w:cs="仿宋_GB2312" w:eastAsia="仿宋_GB2312"/>
                <w:sz w:val="21"/>
              </w:rPr>
              <w:t>5</w:t>
            </w:r>
            <w:r>
              <w:rPr>
                <w:rFonts w:ascii="仿宋_GB2312" w:hAnsi="仿宋_GB2312" w:cs="仿宋_GB2312" w:eastAsia="仿宋_GB2312"/>
                <w:sz w:val="21"/>
              </w:rPr>
              <w:t>、特殊时段现场支持服务</w:t>
            </w:r>
          </w:p>
          <w:p>
            <w:pPr>
              <w:pStyle w:val="null3"/>
            </w:pPr>
            <w:r>
              <w:rPr>
                <w:rFonts w:ascii="仿宋_GB2312" w:hAnsi="仿宋_GB2312" w:cs="仿宋_GB2312" w:eastAsia="仿宋_GB2312"/>
                <w:sz w:val="21"/>
              </w:rPr>
              <w:t>在春节、劳动节、国庆节、重要会议等对系统设备稳定运行要求较高的特殊时段，将值班工程师的时间表以及联系电话表以传真或</w:t>
            </w:r>
            <w:r>
              <w:rPr>
                <w:rFonts w:ascii="仿宋_GB2312" w:hAnsi="仿宋_GB2312" w:cs="仿宋_GB2312" w:eastAsia="仿宋_GB2312"/>
                <w:sz w:val="21"/>
              </w:rPr>
              <w:t>Email的方式传送给客户方负责人，如果需要，根据实际情况安排工程师提供现场值班技术支持服务。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根据竞争性磋商文件要求、合同条款执行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根据竞争性磋商文件要求、合同条款执行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根据竞争性磋商文件要求、合同条款执行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自合同签订之日起三年或检查满6万患者止（合同签订之日起30个日历日内完成球管的安装与调试工作）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1、成果交付要求 《服务交付计划》 《资产盘查表》/《设备配置表》 《相关风险识别报告》 《架构整合建议和总结》 《故障处理报告》 《配置文件备份表》 《优化建议书》 《月度维护总结报告》 《优化实施方案》 《季度维护总结报告》 《优化实施总结报告》 《半/年度维护总结报告》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合同签订后，设备到达甲方指定地点，安装、调试完毕并验收合格后，乙方提供全额合规发票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验收合格之日起，三年或检查满6万患者后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成交供应商需要提交和上传文件保持一致的响应文件正本壹份、副本贰份、电子版U盘贰份，标明供应商名称。递交地点陕西省西安市中登文景大厦B座2208室。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完整的财务报告（至少包括三表一注，即资产负债表、利润表、现金流量表及其附注）；事业法人提供部门决算报告；/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或2025年度经审计的完整的财务报告（至少包括三表一注，即资产负债表、利润表、现金流量表及其附注）；事业法人提供部门决算报告；/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提供缴费所属日期为投标截止时间前12个月内任意一个月（投标截止时间当月不计入）的增值税（或所得税）缴费凭据或税务机关出具的完税证明/在法规范围内不需提供的应出具书面说明和证明文件； /或具有依法缴纳税收的诚信声明； 以上二种形式的资料提供任何一种即可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提供缴费所属日期为投标截止时间前12个月内任意一个月（投标截止时间当月不计入）的缴费凭据或社保机关出具的缴费证明/在法规范围内不需提供的应出具书面说明和证明文件； /或具有依法缴纳社会保障资金的缴纳记录的诚信声明； 以上二种形式的资料提供任何一种即可。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供应商应授权合法的人员参加磋商，其中法定代表人直接参加的须出具法定代表人身份证并与营业执照上信息一致，法定代表人授权代表参加的须出具法定代表人授权书及被授权人本单位证明 (近三个月内任意一个月社保缴纳证明)。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投标人承诺函</w:t>
            </w:r>
          </w:p>
        </w:tc>
        <w:tc>
          <w:tcPr>
            <w:tcW w:type="dxa" w:w="3322"/>
          </w:tcPr>
          <w:p>
            <w:pPr>
              <w:pStyle w:val="null3"/>
            </w:pPr>
            <w:r>
              <w:rPr>
                <w:rFonts w:ascii="仿宋_GB2312" w:hAnsi="仿宋_GB2312" w:cs="仿宋_GB2312" w:eastAsia="仿宋_GB2312"/>
              </w:rPr>
              <w:t>投标人与交叉控股股东、交叉兼任高管的其他投标人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提供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供应商不得为“信用中国”网站（www.creditchina.gov.cn）列入失信被执行人、重大税收违法失信主体、不得为“中国政府采购网”（www.ccgp.gov.cn）政府采购严重违法失信行为记录名单中的供应商。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（1）供应商为生产厂家须提供有效的《医疗器械生产许可证》或《医疗器械生产备案凭证》，同时具备《医疗器械经营许可证》或《医疗器械经营备案凭证 》。 （2）供应商为代理商或经销商的须提供有效的《医疗器械经营许可证》或《医疗器械经营备案凭证 》及生产厂家有效的《医疗器械生产许可证》或《医疗器械生产备案凭证》。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供应商参加政府采购活动承诺书.docx 分项报价表.docx 关于符合本国产品标准的声明函.docx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服务期限不满足竞争性磋商文件要求 不合格，服务期限满足竞争性磋商文件要求 合格</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投标文件的签署、盖章不符合招标文件要求（不合格），投标文件的签署、盖章符合招标文件要求（合格）</w:t>
            </w:r>
          </w:p>
        </w:tc>
        <w:tc>
          <w:tcPr>
            <w:tcW w:type="dxa" w:w="1661"/>
          </w:tcPr>
          <w:p>
            <w:pPr>
              <w:pStyle w:val="null3"/>
            </w:pPr>
            <w:r>
              <w:rPr>
                <w:rFonts w:ascii="仿宋_GB2312" w:hAnsi="仿宋_GB2312" w:cs="仿宋_GB2312" w:eastAsia="仿宋_GB2312"/>
              </w:rPr>
              <w:t>供应商参加政府采购活动承诺书.docx 业绩一览表.docx 关于符合本国产品标准的声明函.docx 中小企业声明函 商务应答表 报价表 资格证明文件.docx 响应文件封面 人员配置.docx 分项报价表.docx 技术偏离表.docx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投标文件中采购标的出现漏项或数量与要求不符的（不合格），投标文件中采购标的没有出现漏项或没有出现数量与要求不符合的（合格）</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响应文件封面 供应商参加政府采购活动承诺书.docx 关于符合本国产品标准的声明函.docx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所投产品的《医疗器械注册证 》</w:t>
            </w:r>
          </w:p>
        </w:tc>
        <w:tc>
          <w:tcPr>
            <w:tcW w:type="dxa" w:w="3322"/>
          </w:tcPr>
          <w:p>
            <w:pPr>
              <w:pStyle w:val="null3"/>
            </w:pPr>
            <w:r>
              <w:rPr>
                <w:rFonts w:ascii="仿宋_GB2312" w:hAnsi="仿宋_GB2312" w:cs="仿宋_GB2312" w:eastAsia="仿宋_GB2312"/>
              </w:rPr>
              <w:t>供应商提供所投产品的《医疗器械产品注册证》加盖公章</w:t>
            </w:r>
          </w:p>
        </w:tc>
        <w:tc>
          <w:tcPr>
            <w:tcW w:type="dxa" w:w="1661"/>
          </w:tcPr>
          <w:p>
            <w:pPr>
              <w:pStyle w:val="null3"/>
            </w:pPr>
            <w:r>
              <w:rPr>
                <w:rFonts w:ascii="仿宋_GB2312" w:hAnsi="仿宋_GB2312" w:cs="仿宋_GB2312" w:eastAsia="仿宋_GB2312"/>
              </w:rPr>
              <w:t>技术偏离表.docx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投标产品的技术指标评审</w:t>
            </w:r>
          </w:p>
        </w:tc>
        <w:tc>
          <w:tcPr>
            <w:tcW w:type="dxa" w:w="2492"/>
          </w:tcPr>
          <w:p>
            <w:pPr>
              <w:pStyle w:val="null3"/>
            </w:pPr>
            <w:r>
              <w:rPr>
                <w:rFonts w:ascii="仿宋_GB2312" w:hAnsi="仿宋_GB2312" w:cs="仿宋_GB2312" w:eastAsia="仿宋_GB2312"/>
              </w:rPr>
              <w:t>投标产品的技术指标评审：完全响应或优于计30分。“▲”号技术参数一项不符合扣分分值为：3分，非“▲”号技术参数一项不满足扣分分值为：1分;扣完为止。加注“▲”号的主要参数须提供相应的参数指标证明文件包括但不限于：须附有产品相关技术资料、官网功能截图、产品彩页、附相应型号的第三方检测报告或依据等技术条款证明文件，并在技术偏离表里标明页码，否则不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投标产品响应的规范性</w:t>
            </w:r>
          </w:p>
        </w:tc>
        <w:tc>
          <w:tcPr>
            <w:tcW w:type="dxa" w:w="2492"/>
          </w:tcPr>
          <w:p>
            <w:pPr>
              <w:pStyle w:val="null3"/>
            </w:pPr>
            <w:r>
              <w:rPr>
                <w:rFonts w:ascii="仿宋_GB2312" w:hAnsi="仿宋_GB2312" w:cs="仿宋_GB2312" w:eastAsia="仿宋_GB2312"/>
              </w:rPr>
              <w:t>投标产品响应的规范性： （1）技术参数逐条明确响应，完整详细、科学规范、可行度高的得3分；（2）技术响应内容有3处以上缺陷或完全拷贝参数要求未进行细化响应的得1分； （3）未响应不得分。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投标产品的先进性和可靠性评审</w:t>
            </w:r>
          </w:p>
        </w:tc>
        <w:tc>
          <w:tcPr>
            <w:tcW w:type="dxa" w:w="2492"/>
          </w:tcPr>
          <w:p>
            <w:pPr>
              <w:pStyle w:val="null3"/>
            </w:pPr>
            <w:r>
              <w:rPr>
                <w:rFonts w:ascii="仿宋_GB2312" w:hAnsi="仿宋_GB2312" w:cs="仿宋_GB2312" w:eastAsia="仿宋_GB2312"/>
              </w:rPr>
              <w:t>根据所投产品性能稳定性、质量可靠性、技术先进性等方面进行评审： （1）所投设备技术成熟度高、性能可靠性强、关键部件匹配性强，完全符合用户需求，得3分； （2）所投设备技术成熟度、性能可靠性、关键部件匹配性基本满足用户需求，但存在不足的，得2分； （3）所投设备技术成熟度、性能可靠性、关键部件有较大缺陷，但能基本满足用户使用，得1分； （4）未响应不得分。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供应商需在国内拥有专业的 CT 球管技术支持团队。 评审时须提供： 1、人员身份证复印件； 2、在考核合格有效期内的医疗器械维修工程师职业资格证（医用 X 射线设备方向），或所投球管生产厂家原厂认证的 CT 球管技术工程师证书复印件，或所投球管生产厂家出具的 CT球管专项技术培训合格证明； 3、正式在职证明（劳动合同）或近3个月（2026年1月、2月、3月）内任意一个月的社保缴纳证明等。 根据供应商人员配备情况进行得分，5人及以上得5分，4人得3分，3人得2分，3人以下不得分。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设备供货渠道正常、货物来源质量有保证，检验手续完善、合法有效，无产权纠纷得3分； 内容不完整得1分；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维保及实施方案</w:t>
            </w:r>
          </w:p>
        </w:tc>
        <w:tc>
          <w:tcPr>
            <w:tcW w:type="dxa" w:w="2492"/>
          </w:tcPr>
          <w:p>
            <w:pPr>
              <w:pStyle w:val="null3"/>
            </w:pPr>
            <w:r>
              <w:rPr>
                <w:rFonts w:ascii="仿宋_GB2312" w:hAnsi="仿宋_GB2312" w:cs="仿宋_GB2312" w:eastAsia="仿宋_GB2312"/>
              </w:rPr>
              <w:t>供应商提供针对本项目的维保及实施方案。 包括但不限于1、供货、安装调试； 2、实施步骤、进度计划和保证措施；3、安全控制方案及质量措施； 4、总体维保方案等。 方案各项内容全面详细、阐述条理清晰、技术先进、功能配置合理，能有效保障本项目实施得12分；每有一项缺项扣3分，每有一处内容存在缺陷，扣0.5分，扣完为止。 备注：缺陷是指内容不合理、虽有内容但不完善、内容表述前后不一致、套用其他项目方案或与项目需求不匹配及其他不利于项目实施的任意一种情形。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提供所投产品2023年3月1日起至今中标（或成交）供货业绩（以完整合同复印件为准），提供1个计0.5分，满分5分。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售后服务方案：售后服务方案完善，且具备本地化服务能力，出具相关证明材料得,5分；售后服务方案基本完善，且具备本地化服务能力，出具相关证明材料得3分； 售后服务方案内容缺项严重得1分；未提供不得分。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培训方案：保证使用单位能熟练操作维护和正常使用，列出详细的培训内容、培训方式等得4分；培训方案基本完善得2分； 培训方案内容有严重缺陷得1分；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满足磋商文件要求且最终总报价最低为评标基准价，其价格分为满分。投标报价得分=（评标基准价／投标总报价）×30%×100。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