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DF109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项目实施方案</w:t>
      </w:r>
    </w:p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总体工作思路及工作计划；</w:t>
      </w:r>
    </w:p>
    <w:p w14:paraId="01B29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具体工作目标及内容；</w:t>
      </w:r>
    </w:p>
    <w:p w14:paraId="101C8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3、服务实施细则；</w:t>
      </w:r>
    </w:p>
    <w:p w14:paraId="51855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4、服务质量保障方案。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27833DB"/>
    <w:rsid w:val="4CF40ECD"/>
    <w:rsid w:val="4D3F0047"/>
    <w:rsid w:val="548A223D"/>
    <w:rsid w:val="558E78ED"/>
    <w:rsid w:val="67860E67"/>
    <w:rsid w:val="6C6E7FF0"/>
    <w:rsid w:val="76812E44"/>
    <w:rsid w:val="7774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2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2026-03-30T01:56:55Z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DC9F1558ABD649BD97D3E3D3D7D91F8A_13</vt:lpwstr>
  </property>
</Properties>
</file>