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版本号：KY2026-1-32120260326001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西安市重点企业急需紧缺岗位服务保障活动项目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KY2026-1-321</w:t>
      </w:r>
      <w:r>
        <w:br/>
      </w:r>
      <w:r>
        <w:br/>
      </w:r>
      <w:r>
        <w:br/>
      </w:r>
    </w:p>
    <w:p>
      <w:pPr>
        <w:pStyle w:val="null3"/>
        <w:jc w:val="center"/>
        <w:outlineLvl w:val="2"/>
      </w:pPr>
      <w:r>
        <w:rPr>
          <w:rFonts w:ascii="仿宋_GB2312" w:hAnsi="仿宋_GB2312" w:cs="仿宋_GB2312" w:eastAsia="仿宋_GB2312"/>
          <w:sz w:val="28"/>
          <w:b/>
        </w:rPr>
        <w:t>西安市人才服务中心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西安市人才服务中心</w:t>
      </w:r>
      <w:r>
        <w:rPr>
          <w:rFonts w:ascii="仿宋_GB2312" w:hAnsi="仿宋_GB2312" w:cs="仿宋_GB2312" w:eastAsia="仿宋_GB2312"/>
        </w:rPr>
        <w:t>委托，拟对</w:t>
      </w:r>
      <w:r>
        <w:rPr>
          <w:rFonts w:ascii="仿宋_GB2312" w:hAnsi="仿宋_GB2312" w:cs="仿宋_GB2312" w:eastAsia="仿宋_GB2312"/>
        </w:rPr>
        <w:t>西安市重点企业急需紧缺岗位服务保障活动项目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KY2026-1-321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西安市重点企业急需紧缺岗位服务保障活动项目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西安市人才服务中心西安市重点企业急需紧缺岗位服务保障活动项目，1项，具体详见第三章 磋商项目技术、服务、商务及其他要求。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采购包1（西安市重点企业急需紧缺岗位服务保障活动项目）：属于专门面向中小企业采购。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1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4、社会保障资金缴存证明：提供2025年1月至今已缴存的至少一个月的社会保障资金缴存单据或社保机构开具的社会保险参保缴费情况证明，依法不需要缴存社会保障资金的单位应提供相关证明材料。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6、提供具有履行合同所必需的设备和专业技术能力的承诺函。：提供具有履行合同所必需的设备和专业技术能力的承诺函。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7、法定代表人授权书及被授权人身份证：法定代表人授权书及被授权人身份证明。（法定代表人直接投标只须提交其身份证明）。</w:t>
      </w:r>
    </w:p>
    <w:p>
      <w:pPr>
        <w:pStyle w:val="null3"/>
      </w:pPr>
      <w:r>
        <w:rPr>
          <w:rFonts w:ascii="仿宋_GB2312" w:hAnsi="仿宋_GB2312" w:cs="仿宋_GB2312" w:eastAsia="仿宋_GB2312"/>
        </w:rPr>
        <w:t>8、中小企业声明函：本项目专门面向中小企业采购，供应商应为中小企业或监狱企业或残疾人福利性单位，并提供声明函。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西安市人才服务中心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029-88360286-8104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汪涛、丁嘉伟、刘金柯、卢韶华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号）规定的招标代理服务收费标准收取。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西安市人才服务中心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西安市人才服务中心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西安市人才服务中心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联系人：汪涛</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西安市人才服务中心西安市重点企业急需紧缺岗位服务保障活动项目，1项，具体详见第三章 磋商项目技术、服务、商务及其他要求。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西安市重点企业急需紧缺岗位服务保障活动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标的名称：西安市重点企业急需紧缺岗位服务保障活动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一、活动主题</w:t>
            </w:r>
          </w:p>
          <w:p>
            <w:pPr>
              <w:pStyle w:val="null3"/>
              <w:ind w:firstLine="480"/>
              <w:jc w:val="both"/>
            </w:pPr>
            <w:r>
              <w:rPr>
                <w:rFonts w:ascii="仿宋_GB2312" w:hAnsi="仿宋_GB2312" w:cs="仿宋_GB2312" w:eastAsia="仿宋_GB2312"/>
                <w:sz w:val="24"/>
              </w:rPr>
              <w:t>向西而行</w:t>
            </w:r>
            <w:r>
              <w:rPr>
                <w:rFonts w:ascii="仿宋_GB2312" w:hAnsi="仿宋_GB2312" w:cs="仿宋_GB2312" w:eastAsia="仿宋_GB2312"/>
                <w:sz w:val="24"/>
              </w:rPr>
              <w:t>筑梦未来</w:t>
            </w:r>
          </w:p>
          <w:p>
            <w:pPr>
              <w:pStyle w:val="null3"/>
              <w:ind w:firstLine="480"/>
              <w:jc w:val="both"/>
            </w:pPr>
            <w:r>
              <w:rPr>
                <w:rFonts w:ascii="仿宋_GB2312" w:hAnsi="仿宋_GB2312" w:cs="仿宋_GB2312" w:eastAsia="仿宋_GB2312"/>
                <w:sz w:val="24"/>
              </w:rPr>
              <w:t>——2026年西安市重点企业急需紧缺岗位服务保障活动</w:t>
            </w:r>
          </w:p>
          <w:p>
            <w:pPr>
              <w:pStyle w:val="null3"/>
              <w:jc w:val="both"/>
            </w:pPr>
            <w:r>
              <w:rPr>
                <w:rFonts w:ascii="仿宋_GB2312" w:hAnsi="仿宋_GB2312" w:cs="仿宋_GB2312" w:eastAsia="仿宋_GB2312"/>
                <w:sz w:val="24"/>
              </w:rPr>
              <w:t>二、组织机构</w:t>
            </w:r>
          </w:p>
          <w:p>
            <w:pPr>
              <w:pStyle w:val="null3"/>
              <w:ind w:firstLine="480"/>
              <w:jc w:val="both"/>
            </w:pPr>
            <w:r>
              <w:rPr>
                <w:rFonts w:ascii="仿宋_GB2312" w:hAnsi="仿宋_GB2312" w:cs="仿宋_GB2312" w:eastAsia="仿宋_GB2312"/>
                <w:sz w:val="24"/>
              </w:rPr>
              <w:t>主办单位：西安市人力资源和社会保障局</w:t>
            </w:r>
          </w:p>
          <w:p>
            <w:pPr>
              <w:pStyle w:val="null3"/>
              <w:ind w:firstLine="480"/>
              <w:jc w:val="both"/>
            </w:pPr>
            <w:r>
              <w:rPr>
                <w:rFonts w:ascii="仿宋_GB2312" w:hAnsi="仿宋_GB2312" w:cs="仿宋_GB2312" w:eastAsia="仿宋_GB2312"/>
                <w:sz w:val="24"/>
              </w:rPr>
              <w:t>承办单位：西安市人才服务中心</w:t>
            </w:r>
          </w:p>
          <w:p>
            <w:pPr>
              <w:pStyle w:val="null3"/>
              <w:ind w:firstLine="1680"/>
              <w:jc w:val="both"/>
            </w:pPr>
            <w:r>
              <w:rPr>
                <w:rFonts w:ascii="仿宋_GB2312" w:hAnsi="仿宋_GB2312" w:cs="仿宋_GB2312" w:eastAsia="仿宋_GB2312"/>
                <w:sz w:val="24"/>
              </w:rPr>
              <w:t>西安毕业生就业市场</w:t>
            </w:r>
          </w:p>
          <w:p>
            <w:pPr>
              <w:pStyle w:val="null3"/>
              <w:ind w:firstLine="480"/>
              <w:jc w:val="both"/>
            </w:pPr>
            <w:r>
              <w:rPr>
                <w:rFonts w:ascii="仿宋_GB2312" w:hAnsi="仿宋_GB2312" w:cs="仿宋_GB2312" w:eastAsia="仿宋_GB2312"/>
                <w:sz w:val="24"/>
              </w:rPr>
              <w:t>协办单位：西安市各区县、开发区人社局</w:t>
            </w:r>
          </w:p>
          <w:p>
            <w:pPr>
              <w:pStyle w:val="null3"/>
              <w:ind w:firstLine="1680"/>
              <w:jc w:val="both"/>
            </w:pPr>
            <w:r>
              <w:rPr>
                <w:rFonts w:ascii="仿宋_GB2312" w:hAnsi="仿宋_GB2312" w:cs="仿宋_GB2312" w:eastAsia="仿宋_GB2312"/>
                <w:sz w:val="24"/>
              </w:rPr>
              <w:t>相关高校就业中心</w:t>
            </w:r>
          </w:p>
          <w:p>
            <w:pPr>
              <w:pStyle w:val="null3"/>
              <w:jc w:val="both"/>
            </w:pPr>
            <w:r>
              <w:rPr>
                <w:rFonts w:ascii="仿宋_GB2312" w:hAnsi="仿宋_GB2312" w:cs="仿宋_GB2312" w:eastAsia="仿宋_GB2312"/>
                <w:sz w:val="24"/>
              </w:rPr>
              <w:t>三、参会对象</w:t>
            </w:r>
          </w:p>
          <w:p>
            <w:pPr>
              <w:pStyle w:val="null3"/>
              <w:ind w:firstLine="480"/>
              <w:jc w:val="both"/>
            </w:pPr>
            <w:r>
              <w:rPr>
                <w:rFonts w:ascii="仿宋_GB2312" w:hAnsi="仿宋_GB2312" w:cs="仿宋_GB2312" w:eastAsia="仿宋_GB2312"/>
                <w:sz w:val="24"/>
              </w:rPr>
              <w:t>（一）用人单位</w:t>
            </w:r>
          </w:p>
          <w:p>
            <w:pPr>
              <w:pStyle w:val="null3"/>
              <w:ind w:firstLine="480"/>
              <w:jc w:val="both"/>
            </w:pPr>
            <w:r>
              <w:rPr>
                <w:rFonts w:ascii="仿宋_GB2312" w:hAnsi="仿宋_GB2312" w:cs="仿宋_GB2312" w:eastAsia="仿宋_GB2312"/>
                <w:sz w:val="24"/>
              </w:rPr>
              <w:t>西安地区有硕士及以上学历就业需求的高校、科研院所，重点民营企业、龙头企业及新兴产业领军企业。</w:t>
            </w:r>
          </w:p>
          <w:p>
            <w:pPr>
              <w:pStyle w:val="null3"/>
              <w:ind w:firstLine="480"/>
              <w:jc w:val="both"/>
            </w:pPr>
            <w:r>
              <w:rPr>
                <w:rFonts w:ascii="仿宋_GB2312" w:hAnsi="仿宋_GB2312" w:cs="仿宋_GB2312" w:eastAsia="仿宋_GB2312"/>
                <w:sz w:val="24"/>
              </w:rPr>
              <w:t>（二）求职群体</w:t>
            </w:r>
          </w:p>
          <w:p>
            <w:pPr>
              <w:pStyle w:val="null3"/>
              <w:ind w:firstLine="480"/>
              <w:jc w:val="both"/>
            </w:pPr>
            <w:r>
              <w:rPr>
                <w:rFonts w:ascii="仿宋_GB2312" w:hAnsi="仿宋_GB2312" w:cs="仿宋_GB2312" w:eastAsia="仿宋_GB2312"/>
                <w:sz w:val="24"/>
              </w:rPr>
              <w:t>1.2026、2027届博士、硕士研究生，以及具备卓越创新能力和创业潜力的青年；</w:t>
            </w:r>
          </w:p>
          <w:p>
            <w:pPr>
              <w:pStyle w:val="null3"/>
              <w:ind w:firstLine="480"/>
              <w:jc w:val="both"/>
            </w:pPr>
            <w:r>
              <w:rPr>
                <w:rFonts w:ascii="仿宋_GB2312" w:hAnsi="仿宋_GB2312" w:cs="仿宋_GB2312" w:eastAsia="仿宋_GB2312"/>
                <w:sz w:val="24"/>
              </w:rPr>
              <w:t>2.有返乡发展意愿或意向来西安就业创业的外地高层次从业者（含优秀在职人员）。</w:t>
            </w:r>
          </w:p>
          <w:p>
            <w:pPr>
              <w:pStyle w:val="null3"/>
              <w:jc w:val="both"/>
            </w:pPr>
            <w:r>
              <w:rPr>
                <w:rFonts w:ascii="仿宋_GB2312" w:hAnsi="仿宋_GB2312" w:cs="仿宋_GB2312" w:eastAsia="仿宋_GB2312"/>
                <w:sz w:val="24"/>
              </w:rPr>
              <w:t>四、活动安排</w:t>
            </w:r>
          </w:p>
          <w:p>
            <w:pPr>
              <w:pStyle w:val="null3"/>
              <w:ind w:firstLine="480"/>
              <w:jc w:val="both"/>
            </w:pPr>
            <w:r>
              <w:rPr>
                <w:rFonts w:ascii="仿宋_GB2312" w:hAnsi="仿宋_GB2312" w:cs="仿宋_GB2312" w:eastAsia="仿宋_GB2312"/>
                <w:sz w:val="24"/>
              </w:rPr>
              <w:t>聚焦西安高、精、尖、缺岗位需求，计划</w:t>
            </w:r>
            <w:r>
              <w:rPr>
                <w:rFonts w:ascii="仿宋_GB2312" w:hAnsi="仿宋_GB2312" w:cs="仿宋_GB2312" w:eastAsia="仿宋_GB2312"/>
                <w:sz w:val="24"/>
              </w:rPr>
              <w:t>2026年3-4月、10-11月分别组织20余家西安重点单位、科研院所及龙头企业赴多所国内知名高校（春季2地7场、秋季3地12场）开展西安市重点企业急需紧缺岗位服务保障活动。</w:t>
            </w:r>
          </w:p>
          <w:p>
            <w:pPr>
              <w:pStyle w:val="null3"/>
              <w:ind w:firstLine="480"/>
              <w:jc w:val="both"/>
            </w:pPr>
            <w:r>
              <w:rPr>
                <w:rFonts w:ascii="仿宋_GB2312" w:hAnsi="仿宋_GB2312" w:cs="仿宋_GB2312" w:eastAsia="仿宋_GB2312"/>
                <w:sz w:val="24"/>
              </w:rPr>
              <w:t>（一）企业宣讲活动（</w:t>
            </w:r>
            <w:r>
              <w:rPr>
                <w:rFonts w:ascii="仿宋_GB2312" w:hAnsi="仿宋_GB2312" w:cs="仿宋_GB2312" w:eastAsia="仿宋_GB2312"/>
                <w:sz w:val="24"/>
              </w:rPr>
              <w:t>5场）。邀请3-5家西安市重点企业代表，以“企业展示+岗位发布+互动对接”为核心框架，宣介行业趋势、业务布局、培育体系及岗位需求，打破就业信息差，精准匹配资源，助力西安产业高质量发展与专业队伍建设。</w:t>
            </w:r>
          </w:p>
          <w:p>
            <w:pPr>
              <w:pStyle w:val="null3"/>
              <w:ind w:firstLine="480"/>
              <w:jc w:val="both"/>
            </w:pPr>
            <w:r>
              <w:rPr>
                <w:rFonts w:ascii="仿宋_GB2312" w:hAnsi="仿宋_GB2312" w:cs="仿宋_GB2312" w:eastAsia="仿宋_GB2312"/>
                <w:sz w:val="24"/>
              </w:rPr>
              <w:t>（二）现场招聘活动（</w:t>
            </w:r>
            <w:r>
              <w:rPr>
                <w:rFonts w:ascii="仿宋_GB2312" w:hAnsi="仿宋_GB2312" w:cs="仿宋_GB2312" w:eastAsia="仿宋_GB2312"/>
                <w:sz w:val="24"/>
              </w:rPr>
              <w:t>8场）。组织20余家西安重点单位、科研院所及龙头企业进校开展专场招聘活动。通过“走出去”定向对接国内高层次及紧缺优质人力资源，为西安重点企业急需紧缺岗位提供精准人力供给与坚实专业支撑。</w:t>
            </w:r>
          </w:p>
          <w:p>
            <w:pPr>
              <w:pStyle w:val="null3"/>
              <w:ind w:firstLine="480"/>
              <w:jc w:val="both"/>
            </w:pPr>
            <w:r>
              <w:rPr>
                <w:rFonts w:ascii="仿宋_GB2312" w:hAnsi="仿宋_GB2312" w:cs="仿宋_GB2312" w:eastAsia="仿宋_GB2312"/>
                <w:sz w:val="24"/>
              </w:rPr>
              <w:t>（三）网络招聘活动（</w:t>
            </w:r>
            <w:r>
              <w:rPr>
                <w:rFonts w:ascii="仿宋_GB2312" w:hAnsi="仿宋_GB2312" w:cs="仿宋_GB2312" w:eastAsia="仿宋_GB2312"/>
                <w:sz w:val="24"/>
              </w:rPr>
              <w:t>2场）。活动期间分别举办网络招聘活动，以数字化手段打破地域局限，在多地知名高校就业网站同步上线，用人单位及应聘人员可通过云端在线求职、实时沟通，助力精准匹配人岗需求，有效提高招聘效率。</w:t>
            </w:r>
          </w:p>
          <w:p>
            <w:pPr>
              <w:pStyle w:val="null3"/>
              <w:ind w:firstLine="480"/>
              <w:jc w:val="both"/>
            </w:pPr>
            <w:r>
              <w:rPr>
                <w:rFonts w:ascii="仿宋_GB2312" w:hAnsi="仿宋_GB2312" w:cs="仿宋_GB2312" w:eastAsia="仿宋_GB2312"/>
                <w:sz w:val="24"/>
              </w:rPr>
              <w:t>（四）重点企业直播带岗活动（</w:t>
            </w:r>
            <w:r>
              <w:rPr>
                <w:rFonts w:ascii="仿宋_GB2312" w:hAnsi="仿宋_GB2312" w:cs="仿宋_GB2312" w:eastAsia="仿宋_GB2312"/>
                <w:sz w:val="24"/>
              </w:rPr>
              <w:t>4场）。邀请3-5家重点企业人力资源负责人走进直播间，在线推介急需紧缺岗位需求，分享企业引才政策，通过“单位介绍+岗位解读+政策宣讲+在线互动”形式，拓宽求职者与重点企业的对接渠道。</w:t>
            </w:r>
          </w:p>
          <w:p>
            <w:pPr>
              <w:pStyle w:val="null3"/>
              <w:jc w:val="both"/>
            </w:pPr>
            <w:r>
              <w:rPr>
                <w:rFonts w:ascii="仿宋_GB2312" w:hAnsi="仿宋_GB2312" w:cs="仿宋_GB2312" w:eastAsia="仿宋_GB2312"/>
                <w:sz w:val="24"/>
              </w:rPr>
              <w:t>五、工作措施</w:t>
            </w:r>
          </w:p>
          <w:p>
            <w:pPr>
              <w:pStyle w:val="null3"/>
              <w:ind w:firstLine="480"/>
              <w:jc w:val="both"/>
            </w:pPr>
            <w:r>
              <w:rPr>
                <w:rFonts w:ascii="仿宋_GB2312" w:hAnsi="仿宋_GB2312" w:cs="仿宋_GB2312" w:eastAsia="仿宋_GB2312"/>
                <w:sz w:val="24"/>
              </w:rPr>
              <w:t>（一）前期调研</w:t>
            </w:r>
          </w:p>
          <w:p>
            <w:pPr>
              <w:pStyle w:val="null3"/>
              <w:ind w:firstLine="480"/>
              <w:jc w:val="both"/>
            </w:pPr>
            <w:r>
              <w:rPr>
                <w:rFonts w:ascii="仿宋_GB2312" w:hAnsi="仿宋_GB2312" w:cs="仿宋_GB2312" w:eastAsia="仿宋_GB2312"/>
                <w:sz w:val="24"/>
              </w:rPr>
              <w:t>打造西安高层次群体引进招聘平台，精准调研西安重点单位、科研院所及龙头企业急需紧缺岗位用工需求，结合国内知名高校优势学科、顶尖专业进行供需适配，科学谋划西安市重点企业急需紧缺岗位服务保障活动，优化活动安排，提升引才精准度与质效。</w:t>
            </w:r>
          </w:p>
          <w:p>
            <w:pPr>
              <w:pStyle w:val="null3"/>
              <w:ind w:firstLine="480"/>
              <w:jc w:val="both"/>
            </w:pPr>
            <w:r>
              <w:rPr>
                <w:rFonts w:ascii="仿宋_GB2312" w:hAnsi="仿宋_GB2312" w:cs="仿宋_GB2312" w:eastAsia="仿宋_GB2312"/>
                <w:sz w:val="24"/>
              </w:rPr>
              <w:t>（二）活动宣传</w:t>
            </w:r>
          </w:p>
          <w:p>
            <w:pPr>
              <w:pStyle w:val="null3"/>
              <w:ind w:firstLine="480"/>
              <w:jc w:val="both"/>
            </w:pPr>
            <w:r>
              <w:rPr>
                <w:rFonts w:ascii="仿宋_GB2312" w:hAnsi="仿宋_GB2312" w:cs="仿宋_GB2312" w:eastAsia="仿宋_GB2312"/>
                <w:sz w:val="24"/>
              </w:rPr>
              <w:t>邀约省市媒体全程跟踪报道西安市重点企业急需紧缺岗位服务保障活动，并通过省市媒体广泛宣传，吸引高层次群体关注，提高活动的参与度和影响力；在北京、上海、南京、重庆、西安等地知名高校就业网站、公众号同步宣传，吸引各类高校不同专业背景的优秀学子参与，拓宽优质资源引进渠道，为西安企业引进更多高素质、高技能的优秀从业者，切实满足企业高质量发展需求。</w:t>
            </w:r>
          </w:p>
          <w:tbl>
            <w:tblPr>
              <w:tblInd w:type="dxa" w:w="120"/>
              <w:tblBorders>
                <w:top w:val="none" w:color="000000" w:sz="4"/>
                <w:left w:val="none" w:color="000000" w:sz="4"/>
                <w:bottom w:val="none" w:color="000000" w:sz="4"/>
                <w:right w:val="none" w:color="000000" w:sz="4"/>
                <w:insideH w:val="none"/>
                <w:insideV w:val="none"/>
              </w:tblBorders>
            </w:tblPr>
            <w:tblGrid>
              <w:gridCol w:w="97"/>
              <w:gridCol w:w="339"/>
              <w:gridCol w:w="211"/>
              <w:gridCol w:w="339"/>
              <w:gridCol w:w="943"/>
              <w:gridCol w:w="154"/>
              <w:gridCol w:w="173"/>
              <w:gridCol w:w="173"/>
              <w:gridCol w:w="123"/>
            </w:tblGrid>
            <w:tr>
              <w:tc>
                <w:tcPr>
                  <w:tcW w:type="dxa" w:w="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55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活动名称</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w:t>
                  </w:r>
                </w:p>
              </w:tc>
              <w:tc>
                <w:tcPr>
                  <w:tcW w:type="dxa" w:w="9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周期</w:t>
                  </w:r>
                  <w:r>
                    <w:rPr>
                      <w:rFonts w:ascii="仿宋_GB2312" w:hAnsi="仿宋_GB2312" w:cs="仿宋_GB2312" w:eastAsia="仿宋_GB2312"/>
                      <w:sz w:val="20"/>
                      <w:b/>
                      <w:color w:val="000000"/>
                    </w:rPr>
                    <w:t>/场</w:t>
                  </w:r>
                </w:p>
              </w:tc>
              <w:tc>
                <w:tcPr>
                  <w:tcW w:type="dxa" w:w="1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3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春季西安市重点企业急需紧缺岗位服务保障活动（</w:t>
                  </w:r>
                  <w:r>
                    <w:rPr>
                      <w:rFonts w:ascii="仿宋_GB2312" w:hAnsi="仿宋_GB2312" w:cs="仿宋_GB2312" w:eastAsia="仿宋_GB2312"/>
                      <w:sz w:val="20"/>
                      <w:b/>
                      <w:color w:val="000000"/>
                    </w:rPr>
                    <w:t>7场）</w:t>
                  </w:r>
                </w:p>
              </w:tc>
              <w:tc>
                <w:tcPr>
                  <w:tcW w:type="dxa" w:w="21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企业宣讲（</w:t>
                  </w:r>
                  <w:r>
                    <w:rPr>
                      <w:rFonts w:ascii="仿宋_GB2312" w:hAnsi="仿宋_GB2312" w:cs="仿宋_GB2312" w:eastAsia="仿宋_GB2312"/>
                      <w:sz w:val="20"/>
                      <w:b/>
                      <w:color w:val="000000"/>
                    </w:rPr>
                    <w:t>2场）</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活动主</w:t>
                  </w:r>
                  <w:r>
                    <w:rPr>
                      <w:rFonts w:ascii="仿宋_GB2312" w:hAnsi="仿宋_GB2312" w:cs="仿宋_GB2312" w:eastAsia="仿宋_GB2312"/>
                      <w:sz w:val="20"/>
                      <w:color w:val="000000"/>
                    </w:rPr>
                    <w:t>K及其他物料设计</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春季整体活动主视觉设计、宣传、桁架、展架、企业简章及门楣、横幅等设计</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39"/>
                  <w:vMerge/>
                  <w:tcBorders>
                    <w:top w:val="none" w:color="000000" w:sz="4"/>
                    <w:left w:val="single" w:color="000000" w:sz="4"/>
                    <w:bottom w:val="none" w:color="000000" w:sz="4"/>
                    <w:right w:val="single" w:color="000000" w:sz="4"/>
                  </w:tcBorders>
                </w:tcPr>
                <w:p/>
              </w:tc>
              <w:tc>
                <w:tcPr>
                  <w:tcW w:type="dxa" w:w="211"/>
                  <w:vMerge/>
                  <w:tcBorders>
                    <w:top w:val="none" w:color="000000" w:sz="4"/>
                    <w:left w:val="none" w:color="000000" w:sz="4"/>
                    <w:bottom w:val="non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场地租用</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宣讲活动场地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39"/>
                  <w:vMerge/>
                  <w:tcBorders>
                    <w:top w:val="none" w:color="000000" w:sz="4"/>
                    <w:left w:val="single" w:color="000000" w:sz="4"/>
                    <w:bottom w:val="none" w:color="000000" w:sz="4"/>
                    <w:right w:val="single" w:color="000000" w:sz="4"/>
                  </w:tcBorders>
                </w:tcPr>
                <w:p/>
              </w:tc>
              <w:tc>
                <w:tcPr>
                  <w:tcW w:type="dxa" w:w="211"/>
                  <w:vMerge/>
                  <w:tcBorders>
                    <w:top w:val="none" w:color="000000" w:sz="4"/>
                    <w:left w:val="none" w:color="000000" w:sz="4"/>
                    <w:bottom w:val="non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门型展架</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金属展架</w:t>
                  </w:r>
                  <w:r>
                    <w:rPr>
                      <w:rFonts w:ascii="仿宋_GB2312" w:hAnsi="仿宋_GB2312" w:cs="仿宋_GB2312" w:eastAsia="仿宋_GB2312"/>
                      <w:sz w:val="20"/>
                      <w:color w:val="000000"/>
                    </w:rPr>
                    <w:t>200cm*85cm（含指引及企业）</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339"/>
                  <w:vMerge/>
                  <w:tcBorders>
                    <w:top w:val="none" w:color="000000" w:sz="4"/>
                    <w:left w:val="single" w:color="000000" w:sz="4"/>
                    <w:bottom w:val="none" w:color="000000" w:sz="4"/>
                    <w:right w:val="single" w:color="000000" w:sz="4"/>
                  </w:tcBorders>
                </w:tcPr>
                <w:p/>
              </w:tc>
              <w:tc>
                <w:tcPr>
                  <w:tcW w:type="dxa" w:w="211"/>
                  <w:vMerge/>
                  <w:tcBorders>
                    <w:top w:val="none" w:color="000000" w:sz="4"/>
                    <w:left w:val="none" w:color="000000" w:sz="4"/>
                    <w:bottom w:val="non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演讲台包装</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三面</w:t>
                  </w:r>
                  <w:r>
                    <w:rPr>
                      <w:rFonts w:ascii="仿宋_GB2312" w:hAnsi="仿宋_GB2312" w:cs="仿宋_GB2312" w:eastAsia="仿宋_GB2312"/>
                      <w:sz w:val="20"/>
                      <w:color w:val="000000"/>
                    </w:rPr>
                    <w:t>KT板整体内开槽包装</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339"/>
                  <w:vMerge/>
                  <w:tcBorders>
                    <w:top w:val="none" w:color="000000" w:sz="4"/>
                    <w:left w:val="single" w:color="000000" w:sz="4"/>
                    <w:bottom w:val="none" w:color="000000" w:sz="4"/>
                    <w:right w:val="single" w:color="000000" w:sz="4"/>
                  </w:tcBorders>
                </w:tcPr>
                <w:p/>
              </w:tc>
              <w:tc>
                <w:tcPr>
                  <w:tcW w:type="dxa" w:w="211"/>
                  <w:vMerge/>
                  <w:tcBorders>
                    <w:top w:val="none" w:color="000000" w:sz="4"/>
                    <w:left w:val="none" w:color="000000" w:sz="4"/>
                    <w:bottom w:val="non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桌卡</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250g粉纸</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339"/>
                  <w:vMerge/>
                  <w:tcBorders>
                    <w:top w:val="none" w:color="000000" w:sz="4"/>
                    <w:left w:val="single" w:color="000000" w:sz="4"/>
                    <w:bottom w:val="none" w:color="000000" w:sz="4"/>
                    <w:right w:val="single" w:color="000000" w:sz="4"/>
                  </w:tcBorders>
                </w:tcPr>
                <w:p/>
              </w:tc>
              <w:tc>
                <w:tcPr>
                  <w:tcW w:type="dxa" w:w="2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现场招聘活动（</w:t>
                  </w:r>
                  <w:r>
                    <w:rPr>
                      <w:rFonts w:ascii="仿宋_GB2312" w:hAnsi="仿宋_GB2312" w:cs="仿宋_GB2312" w:eastAsia="仿宋_GB2312"/>
                      <w:sz w:val="20"/>
                      <w:b/>
                      <w:color w:val="000000"/>
                    </w:rPr>
                    <w:t>2场）</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场地租用</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招聘活动场地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339"/>
                  <w:vMerge/>
                  <w:tcBorders>
                    <w:top w:val="none" w:color="000000" w:sz="4"/>
                    <w:left w:val="single" w:color="000000" w:sz="4"/>
                    <w:bottom w:val="none" w:color="000000" w:sz="4"/>
                    <w:right w:val="single" w:color="000000" w:sz="4"/>
                  </w:tcBorders>
                </w:tcPr>
                <w:p/>
              </w:tc>
              <w:tc>
                <w:tcPr>
                  <w:tcW w:type="dxa" w:w="211"/>
                  <w:vMerge/>
                  <w:tcBorders>
                    <w:top w:val="singl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展位费</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含一桌三椅、门楣</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339"/>
                  <w:vMerge/>
                  <w:tcBorders>
                    <w:top w:val="none" w:color="000000" w:sz="4"/>
                    <w:left w:val="single" w:color="000000" w:sz="4"/>
                    <w:bottom w:val="none" w:color="000000" w:sz="4"/>
                    <w:right w:val="single" w:color="000000" w:sz="4"/>
                  </w:tcBorders>
                </w:tcPr>
                <w:p/>
              </w:tc>
              <w:tc>
                <w:tcPr>
                  <w:tcW w:type="dxa" w:w="211"/>
                  <w:vMerge/>
                  <w:tcBorders>
                    <w:top w:val="singl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主视觉桁架</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+遮光布喷绘8*4*2m,内置配重</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339"/>
                  <w:vMerge/>
                  <w:tcBorders>
                    <w:top w:val="none" w:color="000000" w:sz="4"/>
                    <w:left w:val="single" w:color="000000" w:sz="4"/>
                    <w:bottom w:val="none" w:color="000000" w:sz="4"/>
                    <w:right w:val="single" w:color="000000" w:sz="4"/>
                  </w:tcBorders>
                </w:tcPr>
                <w:p/>
              </w:tc>
              <w:tc>
                <w:tcPr>
                  <w:tcW w:type="dxa" w:w="211"/>
                  <w:vMerge/>
                  <w:tcBorders>
                    <w:top w:val="singl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异形展架</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1.8*3mKT板制作及搭建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339"/>
                  <w:vMerge/>
                  <w:tcBorders>
                    <w:top w:val="none" w:color="000000" w:sz="4"/>
                    <w:left w:val="single" w:color="000000" w:sz="4"/>
                    <w:bottom w:val="none" w:color="000000" w:sz="4"/>
                    <w:right w:val="single" w:color="000000" w:sz="4"/>
                  </w:tcBorders>
                </w:tcPr>
                <w:p/>
              </w:tc>
              <w:tc>
                <w:tcPr>
                  <w:tcW w:type="dxa" w:w="211"/>
                  <w:vMerge/>
                  <w:tcBorders>
                    <w:top w:val="singl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门型展架</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金属展架</w:t>
                  </w:r>
                  <w:r>
                    <w:rPr>
                      <w:rFonts w:ascii="仿宋_GB2312" w:hAnsi="仿宋_GB2312" w:cs="仿宋_GB2312" w:eastAsia="仿宋_GB2312"/>
                      <w:sz w:val="20"/>
                      <w:color w:val="000000"/>
                    </w:rPr>
                    <w:t>200cm*85cm（含指引及企业简章）</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339"/>
                  <w:vMerge/>
                  <w:tcBorders>
                    <w:top w:val="none" w:color="000000" w:sz="4"/>
                    <w:left w:val="single" w:color="000000" w:sz="4"/>
                    <w:bottom w:val="none" w:color="000000" w:sz="4"/>
                    <w:right w:val="single" w:color="000000" w:sz="4"/>
                  </w:tcBorders>
                </w:tcPr>
                <w:p/>
              </w:tc>
              <w:tc>
                <w:tcPr>
                  <w:tcW w:type="dxa" w:w="211"/>
                  <w:vMerge/>
                  <w:tcBorders>
                    <w:top w:val="singl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横幅</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15m 旗帜布</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339"/>
                  <w:vMerge/>
                  <w:tcBorders>
                    <w:top w:val="none" w:color="000000" w:sz="4"/>
                    <w:left w:val="single" w:color="000000" w:sz="4"/>
                    <w:bottom w:val="none" w:color="000000" w:sz="4"/>
                    <w:right w:val="single" w:color="000000" w:sz="4"/>
                  </w:tcBorders>
                </w:tcPr>
                <w:p/>
              </w:tc>
              <w:tc>
                <w:tcPr>
                  <w:tcW w:type="dxa" w:w="211"/>
                  <w:vMerge/>
                  <w:tcBorders>
                    <w:top w:val="singl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签字笔</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339"/>
                  <w:vMerge/>
                  <w:tcBorders>
                    <w:top w:val="none" w:color="000000" w:sz="4"/>
                    <w:left w:val="single" w:color="000000" w:sz="4"/>
                    <w:bottom w:val="none" w:color="000000" w:sz="4"/>
                    <w:right w:val="single" w:color="000000" w:sz="4"/>
                  </w:tcBorders>
                </w:tcPr>
                <w:p/>
              </w:tc>
              <w:tc>
                <w:tcPr>
                  <w:tcW w:type="dxa" w:w="211"/>
                  <w:vMerge/>
                  <w:tcBorders>
                    <w:top w:val="singl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饮用水</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标准饮用水（</w:t>
                  </w:r>
                  <w:r>
                    <w:rPr>
                      <w:rFonts w:ascii="仿宋_GB2312" w:hAnsi="仿宋_GB2312" w:cs="仿宋_GB2312" w:eastAsia="仿宋_GB2312"/>
                      <w:sz w:val="20"/>
                      <w:color w:val="000000"/>
                    </w:rPr>
                    <w:t>3箱）</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339"/>
                  <w:vMerge/>
                  <w:tcBorders>
                    <w:top w:val="none" w:color="000000" w:sz="4"/>
                    <w:left w:val="single" w:color="000000" w:sz="4"/>
                    <w:bottom w:val="none" w:color="000000" w:sz="4"/>
                    <w:right w:val="single" w:color="000000" w:sz="4"/>
                  </w:tcBorders>
                </w:tcPr>
                <w:p/>
              </w:tc>
              <w:tc>
                <w:tcPr>
                  <w:tcW w:type="dxa" w:w="211"/>
                  <w:vMerge/>
                  <w:tcBorders>
                    <w:top w:val="single" w:color="000000" w:sz="4"/>
                    <w:left w:val="none" w:color="000000" w:sz="4"/>
                    <w:bottom w:val="single" w:color="000000" w:sz="4"/>
                    <w:right w:val="single" w:color="000000" w:sz="4"/>
                  </w:tcBorders>
                </w:tcPr>
                <w:p/>
              </w:tc>
              <w:tc>
                <w:tcPr>
                  <w:tcW w:type="dxa" w:w="3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参会证内芯</w:t>
                  </w:r>
                </w:p>
              </w:tc>
              <w:tc>
                <w:tcPr>
                  <w:tcW w:type="dxa" w:w="9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双面铜版纸</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份</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339"/>
                  <w:vMerge/>
                  <w:tcBorders>
                    <w:top w:val="none" w:color="000000" w:sz="4"/>
                    <w:left w:val="single" w:color="000000" w:sz="4"/>
                    <w:bottom w:val="none" w:color="000000" w:sz="4"/>
                    <w:right w:val="single" w:color="000000" w:sz="4"/>
                  </w:tcBorders>
                </w:tcPr>
                <w:p/>
              </w:tc>
              <w:tc>
                <w:tcPr>
                  <w:tcW w:type="dxa" w:w="211"/>
                  <w:vMerge/>
                  <w:tcBorders>
                    <w:top w:val="single" w:color="000000" w:sz="4"/>
                    <w:left w:val="none" w:color="000000" w:sz="4"/>
                    <w:bottom w:val="single" w:color="000000" w:sz="4"/>
                    <w:right w:val="single" w:color="000000" w:sz="4"/>
                  </w:tcBorders>
                </w:tcP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西安特色宣传品</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西安文化、城市形象为核心的文创类宣传品</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339"/>
                  <w:vMerge/>
                  <w:tcBorders>
                    <w:top w:val="none" w:color="000000" w:sz="4"/>
                    <w:left w:val="single" w:color="000000" w:sz="4"/>
                    <w:bottom w:val="none" w:color="000000" w:sz="4"/>
                    <w:right w:val="single" w:color="000000" w:sz="4"/>
                  </w:tcBorders>
                </w:tcPr>
                <w:p/>
              </w:tc>
              <w:tc>
                <w:tcPr>
                  <w:tcW w:type="dxa" w:w="211"/>
                  <w:vMerge/>
                  <w:tcBorders>
                    <w:top w:val="singl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餐</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工作餐（每家企业</w:t>
                  </w:r>
                  <w:r>
                    <w:rPr>
                      <w:rFonts w:ascii="仿宋_GB2312" w:hAnsi="仿宋_GB2312" w:cs="仿宋_GB2312" w:eastAsia="仿宋_GB2312"/>
                      <w:sz w:val="20"/>
                      <w:color w:val="000000"/>
                    </w:rPr>
                    <w:t>2人）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份</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339"/>
                  <w:vMerge/>
                  <w:tcBorders>
                    <w:top w:val="none" w:color="000000" w:sz="4"/>
                    <w:left w:val="single" w:color="000000" w:sz="4"/>
                    <w:bottom w:val="none" w:color="000000" w:sz="4"/>
                    <w:right w:val="single" w:color="000000" w:sz="4"/>
                  </w:tcBorders>
                </w:tcPr>
                <w:p/>
              </w:tc>
              <w:tc>
                <w:tcPr>
                  <w:tcW w:type="dxa" w:w="211"/>
                  <w:vMerge/>
                  <w:tcBorders>
                    <w:top w:val="single" w:color="000000" w:sz="4"/>
                    <w:left w:val="none" w:color="000000" w:sz="4"/>
                    <w:bottom w:val="single" w:color="000000" w:sz="4"/>
                    <w:right w:val="single" w:color="000000" w:sz="4"/>
                  </w:tcBorders>
                </w:tcPr>
                <w:p/>
              </w:tc>
              <w:tc>
                <w:tcPr>
                  <w:tcW w:type="dxa" w:w="3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地方车辆租赁</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11座商务车（含司机）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339"/>
                  <w:vMerge/>
                  <w:tcBorders>
                    <w:top w:val="none" w:color="000000" w:sz="4"/>
                    <w:left w:val="single" w:color="000000" w:sz="4"/>
                    <w:bottom w:val="none" w:color="000000" w:sz="4"/>
                    <w:right w:val="single" w:color="000000" w:sz="4"/>
                  </w:tcBorders>
                </w:tcPr>
                <w:p/>
              </w:tc>
              <w:tc>
                <w:tcPr>
                  <w:tcW w:type="dxa" w:w="211"/>
                  <w:vMerge/>
                  <w:tcBorders>
                    <w:top w:val="single" w:color="000000" w:sz="4"/>
                    <w:left w:val="none" w:color="000000" w:sz="4"/>
                    <w:bottom w:val="single" w:color="000000" w:sz="4"/>
                    <w:right w:val="single" w:color="000000" w:sz="4"/>
                  </w:tcBorders>
                </w:tcPr>
                <w:p/>
              </w:tc>
              <w:tc>
                <w:tcPr>
                  <w:tcW w:type="dxa" w:w="339"/>
                  <w:vMerge/>
                  <w:tcBorders>
                    <w:top w:val="none" w:color="000000" w:sz="4"/>
                    <w:left w:val="non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37座商务车（含司机）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339"/>
                  <w:vMerge/>
                  <w:tcBorders>
                    <w:top w:val="none" w:color="000000" w:sz="4"/>
                    <w:left w:val="single" w:color="000000" w:sz="4"/>
                    <w:bottom w:val="none" w:color="000000" w:sz="4"/>
                    <w:right w:val="single" w:color="000000" w:sz="4"/>
                  </w:tcBorders>
                </w:tcPr>
                <w:p/>
              </w:tc>
              <w:tc>
                <w:tcPr>
                  <w:tcW w:type="dxa" w:w="211"/>
                  <w:vMerge/>
                  <w:tcBorders>
                    <w:top w:val="singl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工作人员交通食宿费</w:t>
                  </w:r>
                </w:p>
              </w:tc>
              <w:tc>
                <w:tcPr>
                  <w:tcW w:type="dxa" w:w="144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本次计划</w:t>
                  </w:r>
                  <w:r>
                    <w:rPr>
                      <w:rFonts w:ascii="仿宋_GB2312" w:hAnsi="仿宋_GB2312" w:cs="仿宋_GB2312" w:eastAsia="仿宋_GB2312"/>
                      <w:sz w:val="20"/>
                      <w:color w:val="000000"/>
                    </w:rPr>
                    <w:t>5人赴国内知名高校（2地2所）开展活动，活动过程交通方式以高铁动车为主，如遇两地间距离过远，考虑到实际交通便捷经济性，将参考航班交通，就餐及食宿参考财政规定工作人员标准执行</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339"/>
                  <w:vMerge/>
                  <w:tcBorders>
                    <w:top w:val="none" w:color="000000" w:sz="4"/>
                    <w:left w:val="single" w:color="000000" w:sz="4"/>
                    <w:bottom w:val="none" w:color="000000" w:sz="4"/>
                    <w:right w:val="single" w:color="000000" w:sz="4"/>
                  </w:tcBorders>
                </w:tcPr>
                <w:p/>
              </w:tc>
              <w:tc>
                <w:tcPr>
                  <w:tcW w:type="dxa" w:w="211"/>
                  <w:vMerge/>
                  <w:tcBorders>
                    <w:top w:val="single" w:color="000000" w:sz="4"/>
                    <w:left w:val="none" w:color="000000" w:sz="4"/>
                    <w:bottom w:val="single" w:color="000000" w:sz="4"/>
                    <w:right w:val="single" w:color="000000" w:sz="4"/>
                  </w:tcBorders>
                </w:tcPr>
                <w:p/>
              </w:tc>
              <w:tc>
                <w:tcPr>
                  <w:tcW w:type="dxa" w:w="33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活动宣传</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覆盖多所知名高校（</w:t>
                  </w:r>
                  <w:r>
                    <w:rPr>
                      <w:rFonts w:ascii="仿宋_GB2312" w:hAnsi="仿宋_GB2312" w:cs="仿宋_GB2312" w:eastAsia="仿宋_GB2312"/>
                      <w:sz w:val="20"/>
                      <w:color w:val="000000"/>
                    </w:rPr>
                    <w:t>2地）就业网站、公众号平台（活动全程发布图文预告、图文总结及撰写等）</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339"/>
                  <w:vMerge/>
                  <w:tcBorders>
                    <w:top w:val="none" w:color="000000" w:sz="4"/>
                    <w:left w:val="single" w:color="000000" w:sz="4"/>
                    <w:bottom w:val="none" w:color="000000" w:sz="4"/>
                    <w:right w:val="single" w:color="000000" w:sz="4"/>
                  </w:tcBorders>
                </w:tcPr>
                <w:p/>
              </w:tc>
              <w:tc>
                <w:tcPr>
                  <w:tcW w:type="dxa" w:w="2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直播带岗活动（</w:t>
                  </w:r>
                  <w:r>
                    <w:rPr>
                      <w:rFonts w:ascii="仿宋_GB2312" w:hAnsi="仿宋_GB2312" w:cs="仿宋_GB2312" w:eastAsia="仿宋_GB2312"/>
                      <w:sz w:val="20"/>
                      <w:b/>
                      <w:color w:val="000000"/>
                    </w:rPr>
                    <w:t>2场）</w:t>
                  </w:r>
                </w:p>
              </w:tc>
              <w:tc>
                <w:tcPr>
                  <w:tcW w:type="dxa" w:w="33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场地费</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339"/>
                  <w:vMerge/>
                  <w:tcBorders>
                    <w:top w:val="none" w:color="000000" w:sz="4"/>
                    <w:left w:val="single" w:color="000000" w:sz="4"/>
                    <w:bottom w:val="non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直播平台</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含直播网页搭建（求职者可通过手机或电脑收看直播回放）</w:t>
                  </w:r>
                  <w:r>
                    <w:br/>
                  </w:r>
                  <w:r>
                    <w:rPr>
                      <w:rFonts w:ascii="仿宋_GB2312" w:hAnsi="仿宋_GB2312" w:cs="仿宋_GB2312" w:eastAsia="仿宋_GB2312"/>
                      <w:sz w:val="20"/>
                      <w:color w:val="000000"/>
                    </w:rPr>
                    <w:t>+直播互动（求职者观看期间可通过弹幕及评论进行互动）</w:t>
                  </w:r>
                  <w:r>
                    <w:br/>
                  </w:r>
                  <w:r>
                    <w:rPr>
                      <w:rFonts w:ascii="仿宋_GB2312" w:hAnsi="仿宋_GB2312" w:cs="仿宋_GB2312" w:eastAsia="仿宋_GB2312"/>
                      <w:sz w:val="20"/>
                      <w:color w:val="000000"/>
                    </w:rPr>
                    <w:t>+简历投递（求职者可快速填写或导入个人简历，统计投递记录）</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339"/>
                  <w:vMerge/>
                  <w:tcBorders>
                    <w:top w:val="none" w:color="000000" w:sz="4"/>
                    <w:left w:val="single" w:color="000000" w:sz="4"/>
                    <w:bottom w:val="non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直播设备租赁</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直播间搭建、场地各直播设备使用，包括但不仅限于专业摄影机</w:t>
                  </w:r>
                  <w:r>
                    <w:rPr>
                      <w:rFonts w:ascii="仿宋_GB2312" w:hAnsi="仿宋_GB2312" w:cs="仿宋_GB2312" w:eastAsia="仿宋_GB2312"/>
                      <w:sz w:val="20"/>
                      <w:color w:val="000000"/>
                    </w:rPr>
                    <w:t>2台、导播台1套、补光灯、收音设备等</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339"/>
                  <w:vMerge/>
                  <w:tcBorders>
                    <w:top w:val="none" w:color="000000" w:sz="4"/>
                    <w:left w:val="single" w:color="000000" w:sz="4"/>
                    <w:bottom w:val="non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物料制作</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包含异形背景板、企业二维码展板、主持人手卡、麦标、桌牌、直播盒子等周边物料设计</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339"/>
                  <w:vMerge/>
                  <w:tcBorders>
                    <w:top w:val="none" w:color="000000" w:sz="4"/>
                    <w:left w:val="single" w:color="000000" w:sz="4"/>
                    <w:bottom w:val="non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主持人</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339"/>
                  <w:vMerge/>
                  <w:tcBorders>
                    <w:top w:val="none" w:color="000000" w:sz="4"/>
                    <w:left w:val="single" w:color="000000" w:sz="4"/>
                    <w:bottom w:val="none" w:color="000000" w:sz="4"/>
                    <w:right w:val="single" w:color="000000" w:sz="4"/>
                  </w:tcBorders>
                </w:tcPr>
                <w:p/>
              </w:tc>
              <w:tc>
                <w:tcPr>
                  <w:tcW w:type="dxa" w:w="2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网络招聘活动（</w:t>
                  </w:r>
                  <w:r>
                    <w:rPr>
                      <w:rFonts w:ascii="仿宋_GB2312" w:hAnsi="仿宋_GB2312" w:cs="仿宋_GB2312" w:eastAsia="仿宋_GB2312"/>
                      <w:sz w:val="20"/>
                      <w:b/>
                      <w:color w:val="000000"/>
                    </w:rPr>
                    <w:t>1场）</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空中双选会平台使用及搭建</w:t>
                  </w:r>
                  <w:r>
                    <w:rPr>
                      <w:rFonts w:ascii="仿宋_GB2312" w:hAnsi="仿宋_GB2312" w:cs="仿宋_GB2312" w:eastAsia="仿宋_GB2312"/>
                      <w:sz w:val="20"/>
                      <w:color w:val="000000"/>
                    </w:rPr>
                    <w:t>(招聘系统)</w:t>
                  </w:r>
                </w:p>
              </w:tc>
              <w:tc>
                <w:tcPr>
                  <w:tcW w:type="dxa" w:w="9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配套招聘网站、视频面试系统、提供全程网络技术支持</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339"/>
                  <w:vMerge/>
                  <w:tcBorders>
                    <w:top w:val="none" w:color="000000" w:sz="4"/>
                    <w:left w:val="single" w:color="000000" w:sz="4"/>
                    <w:bottom w:val="non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活动主区及宣传图设计</w:t>
                  </w:r>
                </w:p>
              </w:tc>
              <w:tc>
                <w:tcPr>
                  <w:tcW w:type="dxa" w:w="943"/>
                  <w:vMerge/>
                  <w:tcBorders>
                    <w:top w:val="none" w:color="000000" w:sz="4"/>
                    <w:left w:val="none" w:color="000000" w:sz="4"/>
                    <w:bottom w:val="single" w:color="000000" w:sz="4"/>
                    <w:right w:val="single" w:color="000000" w:sz="4"/>
                  </w:tcBorders>
                </w:tc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秋季西安市重点企业急需紧缺岗位服务保障活动（</w:t>
                  </w:r>
                  <w:r>
                    <w:rPr>
                      <w:rFonts w:ascii="仿宋_GB2312" w:hAnsi="仿宋_GB2312" w:cs="仿宋_GB2312" w:eastAsia="仿宋_GB2312"/>
                      <w:sz w:val="20"/>
                      <w:b/>
                      <w:color w:val="000000"/>
                    </w:rPr>
                    <w:t>12场）</w:t>
                  </w:r>
                </w:p>
              </w:tc>
              <w:tc>
                <w:tcPr>
                  <w:tcW w:type="dxa" w:w="2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企业宣讲（</w:t>
                  </w:r>
                  <w:r>
                    <w:rPr>
                      <w:rFonts w:ascii="仿宋_GB2312" w:hAnsi="仿宋_GB2312" w:cs="仿宋_GB2312" w:eastAsia="仿宋_GB2312"/>
                      <w:sz w:val="20"/>
                      <w:b/>
                      <w:color w:val="000000"/>
                    </w:rPr>
                    <w:t>3场）</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活动主</w:t>
                  </w:r>
                  <w:r>
                    <w:rPr>
                      <w:rFonts w:ascii="仿宋_GB2312" w:hAnsi="仿宋_GB2312" w:cs="仿宋_GB2312" w:eastAsia="仿宋_GB2312"/>
                      <w:sz w:val="20"/>
                      <w:color w:val="000000"/>
                    </w:rPr>
                    <w:t>K及其他物料设计</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秋季整体活动主视觉设计、宣传、桁架、展架、企业简章及门楣、横幅等设计</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339"/>
                  <w:vMerge/>
                  <w:tcBorders>
                    <w:top w:val="none" w:color="000000" w:sz="4"/>
                    <w:left w:val="singl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场地租用</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宣讲活动场地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339"/>
                  <w:vMerge/>
                  <w:tcBorders>
                    <w:top w:val="none" w:color="000000" w:sz="4"/>
                    <w:left w:val="singl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门型展架</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金属展架</w:t>
                  </w:r>
                  <w:r>
                    <w:rPr>
                      <w:rFonts w:ascii="仿宋_GB2312" w:hAnsi="仿宋_GB2312" w:cs="仿宋_GB2312" w:eastAsia="仿宋_GB2312"/>
                      <w:sz w:val="20"/>
                      <w:color w:val="000000"/>
                    </w:rPr>
                    <w:t>200cm*85cm（含指引及企业）</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339"/>
                  <w:vMerge/>
                  <w:tcBorders>
                    <w:top w:val="none" w:color="000000" w:sz="4"/>
                    <w:left w:val="singl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演讲台包装</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三面</w:t>
                  </w:r>
                  <w:r>
                    <w:rPr>
                      <w:rFonts w:ascii="仿宋_GB2312" w:hAnsi="仿宋_GB2312" w:cs="仿宋_GB2312" w:eastAsia="仿宋_GB2312"/>
                      <w:sz w:val="20"/>
                      <w:color w:val="000000"/>
                    </w:rPr>
                    <w:t>KT板整体内开槽包装</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339"/>
                  <w:vMerge/>
                  <w:tcBorders>
                    <w:top w:val="none" w:color="000000" w:sz="4"/>
                    <w:left w:val="singl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桌卡</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250g 粉纸</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339"/>
                  <w:vMerge/>
                  <w:tcBorders>
                    <w:top w:val="none" w:color="000000" w:sz="4"/>
                    <w:left w:val="single" w:color="000000" w:sz="4"/>
                    <w:bottom w:val="single" w:color="000000" w:sz="4"/>
                    <w:right w:val="single" w:color="000000" w:sz="4"/>
                  </w:tcBorders>
                </w:tcPr>
                <w:p/>
              </w:tc>
              <w:tc>
                <w:tcPr>
                  <w:tcW w:type="dxa" w:w="2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现场招聘活动（</w:t>
                  </w:r>
                  <w:r>
                    <w:rPr>
                      <w:rFonts w:ascii="仿宋_GB2312" w:hAnsi="仿宋_GB2312" w:cs="仿宋_GB2312" w:eastAsia="仿宋_GB2312"/>
                      <w:sz w:val="20"/>
                      <w:b/>
                      <w:color w:val="000000"/>
                    </w:rPr>
                    <w:t>6场）</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场地租用</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招聘活动场地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339"/>
                  <w:vMerge/>
                  <w:tcBorders>
                    <w:top w:val="none" w:color="000000" w:sz="4"/>
                    <w:left w:val="singl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展位费</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含一桌三椅、门楣</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339"/>
                  <w:vMerge/>
                  <w:tcBorders>
                    <w:top w:val="none" w:color="000000" w:sz="4"/>
                    <w:left w:val="singl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主视觉桁架</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桁架</w:t>
                  </w:r>
                  <w:r>
                    <w:rPr>
                      <w:rFonts w:ascii="仿宋_GB2312" w:hAnsi="仿宋_GB2312" w:cs="仿宋_GB2312" w:eastAsia="仿宋_GB2312"/>
                      <w:sz w:val="20"/>
                      <w:color w:val="000000"/>
                    </w:rPr>
                    <w:t>+遮光布喷绘8*4*2m,内置配重</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339"/>
                  <w:vMerge/>
                  <w:tcBorders>
                    <w:top w:val="none" w:color="000000" w:sz="4"/>
                    <w:left w:val="singl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异形展架</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1.8*3mKT板制作及搭建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339"/>
                  <w:vMerge/>
                  <w:tcBorders>
                    <w:top w:val="none" w:color="000000" w:sz="4"/>
                    <w:left w:val="singl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门型展架</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金属展架</w:t>
                  </w:r>
                  <w:r>
                    <w:rPr>
                      <w:rFonts w:ascii="仿宋_GB2312" w:hAnsi="仿宋_GB2312" w:cs="仿宋_GB2312" w:eastAsia="仿宋_GB2312"/>
                      <w:sz w:val="20"/>
                      <w:color w:val="000000"/>
                    </w:rPr>
                    <w:t>200cm*85cm（含指引及企业简章）</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339"/>
                  <w:vMerge/>
                  <w:tcBorders>
                    <w:top w:val="none" w:color="000000" w:sz="4"/>
                    <w:left w:val="singl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横幅</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15m 旗帜布</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339"/>
                  <w:vMerge/>
                  <w:tcBorders>
                    <w:top w:val="none" w:color="000000" w:sz="4"/>
                    <w:left w:val="singl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签字笔</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339"/>
                  <w:vMerge/>
                  <w:tcBorders>
                    <w:top w:val="none" w:color="000000" w:sz="4"/>
                    <w:left w:val="singl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饮用水</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标准饮用水（</w:t>
                  </w:r>
                  <w:r>
                    <w:rPr>
                      <w:rFonts w:ascii="仿宋_GB2312" w:hAnsi="仿宋_GB2312" w:cs="仿宋_GB2312" w:eastAsia="仿宋_GB2312"/>
                      <w:sz w:val="20"/>
                      <w:color w:val="000000"/>
                    </w:rPr>
                    <w:t>3箱）</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339"/>
                  <w:vMerge/>
                  <w:tcBorders>
                    <w:top w:val="none" w:color="000000" w:sz="4"/>
                    <w:left w:val="singl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西安特色宣传品</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西安文化、城市形象为核心的文创类宣传品</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339"/>
                  <w:vMerge/>
                  <w:tcBorders>
                    <w:top w:val="none" w:color="000000" w:sz="4"/>
                    <w:left w:val="singl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餐</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工作餐（每家企业</w:t>
                  </w:r>
                  <w:r>
                    <w:rPr>
                      <w:rFonts w:ascii="仿宋_GB2312" w:hAnsi="仿宋_GB2312" w:cs="仿宋_GB2312" w:eastAsia="仿宋_GB2312"/>
                      <w:sz w:val="20"/>
                      <w:color w:val="000000"/>
                    </w:rPr>
                    <w:t>2人）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份</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339"/>
                  <w:vMerge/>
                  <w:tcBorders>
                    <w:top w:val="none" w:color="000000" w:sz="4"/>
                    <w:left w:val="singl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地方车辆租赁</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11座商务车（含司机）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339"/>
                  <w:vMerge/>
                  <w:tcBorders>
                    <w:top w:val="none" w:color="000000" w:sz="4"/>
                    <w:left w:val="singl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vMerge/>
                  <w:tcBorders>
                    <w:top w:val="none" w:color="000000" w:sz="4"/>
                    <w:left w:val="none" w:color="000000" w:sz="4"/>
                    <w:bottom w:val="single" w:color="000000" w:sz="4"/>
                    <w:right w:val="single" w:color="000000" w:sz="4"/>
                  </w:tcBorders>
                </w:tcP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37座大巴（含司机）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339"/>
                  <w:vMerge/>
                  <w:tcBorders>
                    <w:top w:val="none" w:color="000000" w:sz="4"/>
                    <w:left w:val="singl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工作人员交通食宿费</w:t>
                  </w:r>
                </w:p>
              </w:tc>
              <w:tc>
                <w:tcPr>
                  <w:tcW w:type="dxa" w:w="144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本次计划</w:t>
                  </w:r>
                  <w:r>
                    <w:rPr>
                      <w:rFonts w:ascii="仿宋_GB2312" w:hAnsi="仿宋_GB2312" w:cs="仿宋_GB2312" w:eastAsia="仿宋_GB2312"/>
                      <w:sz w:val="20"/>
                      <w:color w:val="000000"/>
                    </w:rPr>
                    <w:t>5人赴国内知名高校（3地6所）开展活动，活动过程交通方式以高铁动车为主，如遇两地间距离过远，考虑到实际交通便捷经济性，将参考航班交通，就餐及食宿参考财政规定工作人员标准执行</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339"/>
                  <w:vMerge/>
                  <w:tcBorders>
                    <w:top w:val="none" w:color="000000" w:sz="4"/>
                    <w:left w:val="singl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活动宣传</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覆盖多所知名高校（</w:t>
                  </w:r>
                  <w:r>
                    <w:rPr>
                      <w:rFonts w:ascii="仿宋_GB2312" w:hAnsi="仿宋_GB2312" w:cs="仿宋_GB2312" w:eastAsia="仿宋_GB2312"/>
                      <w:sz w:val="20"/>
                      <w:color w:val="000000"/>
                    </w:rPr>
                    <w:t>3地）就业网站、公众号平台（活动全程发布图文预告、图文总结及撰写等）</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339"/>
                  <w:vMerge/>
                  <w:tcBorders>
                    <w:top w:val="none" w:color="000000" w:sz="4"/>
                    <w:left w:val="single" w:color="000000" w:sz="4"/>
                    <w:bottom w:val="single" w:color="000000" w:sz="4"/>
                    <w:right w:val="single" w:color="000000" w:sz="4"/>
                  </w:tcBorders>
                </w:tcPr>
                <w:p/>
              </w:tc>
              <w:tc>
                <w:tcPr>
                  <w:tcW w:type="dxa" w:w="2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直播带岗活动（</w:t>
                  </w:r>
                  <w:r>
                    <w:rPr>
                      <w:rFonts w:ascii="仿宋_GB2312" w:hAnsi="仿宋_GB2312" w:cs="仿宋_GB2312" w:eastAsia="仿宋_GB2312"/>
                      <w:sz w:val="20"/>
                      <w:b/>
                      <w:color w:val="000000"/>
                    </w:rPr>
                    <w:t>2场）</w:t>
                  </w:r>
                </w:p>
              </w:tc>
              <w:tc>
                <w:tcPr>
                  <w:tcW w:type="dxa" w:w="33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场地费</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339"/>
                  <w:vMerge/>
                  <w:tcBorders>
                    <w:top w:val="none" w:color="000000" w:sz="4"/>
                    <w:left w:val="singl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直播平台</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含直播网页搭建（求职者可通过手机或电脑收看直播回放）</w:t>
                  </w:r>
                  <w:r>
                    <w:br/>
                  </w:r>
                  <w:r>
                    <w:rPr>
                      <w:rFonts w:ascii="仿宋_GB2312" w:hAnsi="仿宋_GB2312" w:cs="仿宋_GB2312" w:eastAsia="仿宋_GB2312"/>
                      <w:sz w:val="20"/>
                      <w:color w:val="000000"/>
                    </w:rPr>
                    <w:t>+直播互动（求职者观看期间可通过弹幕及评论进行互动）</w:t>
                  </w:r>
                  <w:r>
                    <w:br/>
                  </w:r>
                  <w:r>
                    <w:rPr>
                      <w:rFonts w:ascii="仿宋_GB2312" w:hAnsi="仿宋_GB2312" w:cs="仿宋_GB2312" w:eastAsia="仿宋_GB2312"/>
                      <w:sz w:val="20"/>
                      <w:color w:val="000000"/>
                    </w:rPr>
                    <w:t>+简历投递（求职者可快速填写或导入个人简历，统计投递记录）</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c>
                <w:tcPr>
                  <w:tcW w:type="dxa" w:w="339"/>
                  <w:vMerge/>
                  <w:tcBorders>
                    <w:top w:val="none" w:color="000000" w:sz="4"/>
                    <w:left w:val="singl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直播设备租赁</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直播间搭建、场地各直播设备使用，包括但不仅限于专业摄影机</w:t>
                  </w:r>
                  <w:r>
                    <w:rPr>
                      <w:rFonts w:ascii="仿宋_GB2312" w:hAnsi="仿宋_GB2312" w:cs="仿宋_GB2312" w:eastAsia="仿宋_GB2312"/>
                      <w:sz w:val="20"/>
                      <w:color w:val="000000"/>
                    </w:rPr>
                    <w:t>2台、导播台1套、补光灯、收音设备等</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339"/>
                  <w:vMerge/>
                  <w:tcBorders>
                    <w:top w:val="none" w:color="000000" w:sz="4"/>
                    <w:left w:val="singl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物料制作</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包含异形背景板、企业二维码展板、主持人手卡、麦标、桌牌、直播盒子等周边物料设计</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c>
                <w:tcPr>
                  <w:tcW w:type="dxa" w:w="339"/>
                  <w:vMerge/>
                  <w:tcBorders>
                    <w:top w:val="none" w:color="000000" w:sz="4"/>
                    <w:left w:val="singl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主持人</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339"/>
                  <w:vMerge/>
                  <w:tcBorders>
                    <w:top w:val="none" w:color="000000" w:sz="4"/>
                    <w:left w:val="single" w:color="000000" w:sz="4"/>
                    <w:bottom w:val="single" w:color="000000" w:sz="4"/>
                    <w:right w:val="single" w:color="000000" w:sz="4"/>
                  </w:tcBorders>
                </w:tcPr>
                <w:p/>
              </w:tc>
              <w:tc>
                <w:tcPr>
                  <w:tcW w:type="dxa" w:w="2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网络招聘活动（</w:t>
                  </w:r>
                  <w:r>
                    <w:rPr>
                      <w:rFonts w:ascii="仿宋_GB2312" w:hAnsi="仿宋_GB2312" w:cs="仿宋_GB2312" w:eastAsia="仿宋_GB2312"/>
                      <w:sz w:val="20"/>
                      <w:b/>
                      <w:color w:val="000000"/>
                    </w:rPr>
                    <w:t>1场）</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空中双选会平台</w:t>
                  </w:r>
                  <w:r>
                    <w:rPr>
                      <w:rFonts w:ascii="仿宋_GB2312" w:hAnsi="仿宋_GB2312" w:cs="仿宋_GB2312" w:eastAsia="仿宋_GB2312"/>
                      <w:sz w:val="20"/>
                      <w:color w:val="000000"/>
                    </w:rPr>
                    <w:t>(招聘系统)</w:t>
                  </w:r>
                </w:p>
              </w:tc>
              <w:tc>
                <w:tcPr>
                  <w:tcW w:type="dxa" w:w="9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配套招聘网站、视频面试系统、提供全程网络技术支持</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c>
                <w:tcPr>
                  <w:tcW w:type="dxa" w:w="339"/>
                  <w:vMerge/>
                  <w:tcBorders>
                    <w:top w:val="none" w:color="000000" w:sz="4"/>
                    <w:left w:val="singl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活动主区及宣传图设计</w:t>
                  </w:r>
                </w:p>
              </w:tc>
              <w:tc>
                <w:tcPr>
                  <w:tcW w:type="dxa" w:w="943"/>
                  <w:vMerge/>
                  <w:tcBorders>
                    <w:top w:val="none" w:color="000000" w:sz="4"/>
                    <w:left w:val="none" w:color="000000" w:sz="4"/>
                    <w:bottom w:val="single" w:color="000000" w:sz="4"/>
                    <w:right w:val="single" w:color="000000" w:sz="4"/>
                  </w:tcBorders>
                </w:tcP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4"/>
              </w:rPr>
              <w:t>六、其他要求</w:t>
            </w:r>
          </w:p>
          <w:p>
            <w:pPr>
              <w:pStyle w:val="null3"/>
              <w:ind w:firstLine="480"/>
              <w:jc w:val="both"/>
            </w:pPr>
            <w:r>
              <w:rPr>
                <w:rFonts w:ascii="仿宋_GB2312" w:hAnsi="仿宋_GB2312" w:cs="仿宋_GB2312" w:eastAsia="仿宋_GB2312"/>
                <w:sz w:val="24"/>
              </w:rPr>
              <w:t>（一）与活动有关的设计产品（含源文件）、数据资料和分析成果所有权归采购单位所有。</w:t>
            </w:r>
          </w:p>
          <w:p>
            <w:pPr>
              <w:pStyle w:val="null3"/>
              <w:ind w:firstLine="480"/>
              <w:jc w:val="both"/>
            </w:pPr>
            <w:r>
              <w:rPr>
                <w:rFonts w:ascii="仿宋_GB2312" w:hAnsi="仿宋_GB2312" w:cs="仿宋_GB2312" w:eastAsia="仿宋_GB2312"/>
                <w:sz w:val="24"/>
              </w:rPr>
              <w:t>（二）采购单位将按工作要求分阶段进行采购项目的检查验收，如果发现与采购要求不符或与中标文件不符等问题，成交人应当按要求采取补救处理措施，并承担相关质量保证责任。若活动结束时仍未按采购要求完成补救处理的，采购人将按未落实项目扣除相应费用。</w:t>
            </w:r>
          </w:p>
          <w:p>
            <w:pPr>
              <w:pStyle w:val="null3"/>
            </w:pPr>
            <w:r>
              <w:rPr>
                <w:rFonts w:ascii="仿宋_GB2312" w:hAnsi="仿宋_GB2312" w:cs="仿宋_GB2312" w:eastAsia="仿宋_GB2312"/>
                <w:sz w:val="24"/>
              </w:rPr>
              <w:t>（三）对于在活动筹备、执行期间突发且与工作有关的相关内容，但未在磋商文件中体现与明确的，成交人有义务配合采购方开展相关工作。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自合同签订之日起至项目执行结束。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西安市人才服务中心指定地点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秋季西安市重点企业急需紧缺岗位服务保障活动完成准备工作（6月底前）</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活动结束，验收合格后，根据实际发生费用一次性结清余款，最终支付金额以项目验收结果为准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 2、采购人按照采购文件和成交供应商响应文件，在成交通知书发出之日起25日内签订合同。 3、保证金的退还：自成交通知书发出之日起5个工作日内退还未成交供应商的磋商保证金,自采购合同签订之日起5个工作日内退还成交供应商的磋商保证金。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提供2025年1月至今已缴存的至少一个月的社会保障资金缴存单据或社保机构开具的社会保险参保缴费情况证明，依法不需要缴存社会保障资金的单位应提供相关证明材料。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提供具有履行合同所必需的设备和专业技术能力的承诺函。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法定代表人授权书及被授权人身份证明。（法定代表人直接投标只须提交其身份证明）。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本项目专门面向中小企业采购，供应商应为中小企业或监狱企业或残疾人福利性单位，并提供声明函。</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1）政府采购评审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响应报价表、分项报价表.docx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响应方案说明.docx 供应商应提交的相关资格证明材料.docx 响应报价表、分项报价表.docx 中小企业声明函 残疾人福利性单位声明函 标的清单 响应函 偏差表.docx 供应商承诺书.docx 监狱企业的证明文件 商务条款响应说明.docx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响应文件封面 响应方案说明.docx 供应商应提交的相关资格证明材料.docx 响应报价表、分项报价表.docx 中小企业声明函 残疾人福利性单位声明函 标的清单 响应函 偏差表.docx 供应商承诺书.docx 监狱企业的证明文件 商务条款响应说明.docx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响应文件封面 响应方案说明.docx 供应商应提交的相关资格证明材料.docx 响应报价表、分项报价表.docx 中小企业声明函 残疾人福利性单位声明函 标的清单 响应函 偏差表.docx 供应商承诺书.docx 监狱企业的证明文件 商务条款响应说明.docx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响应方案说明.docx 供应商应提交的相关资格证明材料.docx 响应报价表、分项报价表.docx 中小企业声明函 残疾人福利性单位声明函 标的清单 响应函 偏差表.docx 供应商承诺书.docx 监狱企业的证明文件 商务条款响应说明.docx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供应商提供对本项目的工作内容理解清晰、全面，能清楚描述本次工作任务目标。 方案内容全面详细、阐述条理清晰、对评审内容中的要求有详细描述及说明得5分，内容存在一处缺陷扣1分，扣完为止。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总体设计</w:t>
            </w:r>
          </w:p>
        </w:tc>
        <w:tc>
          <w:tcPr>
            <w:tcW w:type="dxa" w:w="2492"/>
          </w:tcPr>
          <w:p>
            <w:pPr>
              <w:pStyle w:val="null3"/>
            </w:pPr>
            <w:r>
              <w:rPr>
                <w:rFonts w:ascii="仿宋_GB2312" w:hAnsi="仿宋_GB2312" w:cs="仿宋_GB2312" w:eastAsia="仿宋_GB2312"/>
              </w:rPr>
              <w:t>根据供应商针对本项目提供的总体设计进行综合评审，内容包括①企业宣讲活动策划②现场招聘活动策划③网络招聘活动策划及直播网页搭建④活动宣发及相关物料。 方案各项内容全面详细、阐述条理清晰、对评审内容中的各项要求有详细描述及说明得16分，每有一项缺项扣4分，每有一项内容存在一处缺陷扣1分，扣完为止。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根据供应商针对本项目提供的服务方案进行综合评审，内容包括①整体服务方案②服务质量管控及进度计划③活动前期筹备及拟投入设备清单④活动落地对接⑤交通食宿安排。 方案各项内容全面详细、阐述条理清晰、对评审内容中的各项要求有详细描述及说明得20分，每有一项缺项扣4分，每有一项内容存在一处缺陷扣1分，扣完为止。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偏差表.docx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项目负责人提供完整履历、有丰富的相关领域工作经验或者承担过相关工作的业绩证明，计5分； 项目负责人提供完整履历、有较丰富的相关领域工作经验或者承担过相关工作的主要负责人、提供项目业绩证明，计3分； 项目负责人提供履历、有相关领域工作经验或者曾参与过相关工作，提供项目业绩证明，计1分； 项目负责人无相关领域工作经验或者未参与过相关工作，计0分。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偏差表.docx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提供针对本项目的人员配置方案，内容包括：①拟投入的服务团队人员数量及清单、②人员分工及职责、③人员专业性及工作经验。 方案各项内容全面详细、阐述条理清晰、对评审内容中的各项要求有详细描述及说明得6分，每有一项缺项扣2分，每有一项内容存在一处缺陷扣0.5分，扣完为止。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偏差表.docx</w:t>
            </w:r>
          </w:p>
        </w:tc>
      </w:tr>
      <w:tr>
        <w:tc>
          <w:tcPr>
            <w:tcW w:type="dxa" w:w="831"/>
            <w:vMerge/>
          </w:tcPr>
          <w:p/>
        </w:tc>
        <w:tc>
          <w:tcPr>
            <w:tcW w:type="dxa" w:w="1661"/>
          </w:tcPr>
          <w:p>
            <w:pPr>
              <w:pStyle w:val="null3"/>
            </w:pPr>
            <w:r>
              <w:rPr>
                <w:rFonts w:ascii="仿宋_GB2312" w:hAnsi="仿宋_GB2312" w:cs="仿宋_GB2312" w:eastAsia="仿宋_GB2312"/>
              </w:rPr>
              <w:t>服务能力1</w:t>
            </w:r>
          </w:p>
        </w:tc>
        <w:tc>
          <w:tcPr>
            <w:tcW w:type="dxa" w:w="2492"/>
          </w:tcPr>
          <w:p>
            <w:pPr>
              <w:pStyle w:val="null3"/>
            </w:pPr>
            <w:r>
              <w:rPr>
                <w:rFonts w:ascii="仿宋_GB2312" w:hAnsi="仿宋_GB2312" w:cs="仿宋_GB2312" w:eastAsia="仿宋_GB2312"/>
              </w:rPr>
              <w:t>根据供应商的服务能力进行综合评审，内容包括①资源整合与匹配能力②专业化服务水平③数字与信息化服务能力④活动组织与执行能力。 方案各项内容全面详细、阐述条理清晰、对评审内容中的各项要求有详细描述及说明得8分，每有一项缺项扣2分，每有一项内容存在一处缺陷扣0.5分，扣完为止。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服务能力2</w:t>
            </w:r>
          </w:p>
        </w:tc>
        <w:tc>
          <w:tcPr>
            <w:tcW w:type="dxa" w:w="2492"/>
          </w:tcPr>
          <w:p>
            <w:pPr>
              <w:pStyle w:val="null3"/>
            </w:pPr>
            <w:r>
              <w:rPr>
                <w:rFonts w:ascii="仿宋_GB2312" w:hAnsi="仿宋_GB2312" w:cs="仿宋_GB2312" w:eastAsia="仿宋_GB2312"/>
              </w:rPr>
              <w:t>根据供应商提出有利于采购人降低会务成本及提高服务质量且切实可行措施承诺。 方案内容全面详细、阐述条理清晰、对评审内容中的要求有详细描述及说明得4分，内容存在一处缺陷扣1分，扣完为止。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资源保障</w:t>
            </w:r>
          </w:p>
        </w:tc>
        <w:tc>
          <w:tcPr>
            <w:tcW w:type="dxa" w:w="2492"/>
          </w:tcPr>
          <w:p>
            <w:pPr>
              <w:pStyle w:val="null3"/>
            </w:pPr>
            <w:r>
              <w:rPr>
                <w:rFonts w:ascii="仿宋_GB2312" w:hAnsi="仿宋_GB2312" w:cs="仿宋_GB2312" w:eastAsia="仿宋_GB2312"/>
              </w:rPr>
              <w:t>根据供应商针对本项目提供的资源保障进行综合评审，内容包括①场地资源保障②人力配置保障③物料物资保障。 方案各项内容全面详细、阐述条理清晰、对评审内容中的各项要求有详细描述及说明得9分，每有一项缺项扣3分，每有一项内容存在一处缺陷扣1分，扣完为止。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根据供应商针对本项目提供的应急预案进行综合评审，内容包括①应急组织框架②应急沟通机制及风险应对措施③应急响应与善后复盘。 方案各项内容全面详细、阐述条理清晰、对评审内容中的各项要求有详细描述及说明得6分，每有一项缺项扣2分，每有一项内容存在一处缺陷扣0.5分，扣完为止。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提供供应商2023年1月至今同类项目合同及验收资料（以合同签订日期为准），每提供1个得2分，最高得8分。 备注：响应文件中提供合同复印件加盖公章。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偏差表.docx</w:t>
            </w:r>
          </w:p>
        </w:tc>
      </w:tr>
      <w:tr>
        <w:tc>
          <w:tcPr>
            <w:tcW w:type="dxa" w:w="831"/>
            <w:vMerge/>
          </w:tcPr>
          <w:p/>
        </w:tc>
        <w:tc>
          <w:tcPr>
            <w:tcW w:type="dxa" w:w="1661"/>
          </w:tcPr>
          <w:p>
            <w:pPr>
              <w:pStyle w:val="null3"/>
            </w:pPr>
            <w:r>
              <w:rPr>
                <w:rFonts w:ascii="仿宋_GB2312" w:hAnsi="仿宋_GB2312" w:cs="仿宋_GB2312" w:eastAsia="仿宋_GB2312"/>
              </w:rPr>
              <w:t>增值服务承诺</w:t>
            </w:r>
          </w:p>
        </w:tc>
        <w:tc>
          <w:tcPr>
            <w:tcW w:type="dxa" w:w="2492"/>
          </w:tcPr>
          <w:p>
            <w:pPr>
              <w:pStyle w:val="null3"/>
            </w:pPr>
            <w:r>
              <w:rPr>
                <w:rFonts w:ascii="仿宋_GB2312" w:hAnsi="仿宋_GB2312" w:cs="仿宋_GB2312" w:eastAsia="仿宋_GB2312"/>
              </w:rPr>
              <w:t>供应商针对本项目提出的合理、有价值、为采购人所需要的其他有额外服务承诺，经磋商小组认定每提供一条得1分，最高得3分。未提供不得分。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详见附件：响应报价表、分项报价表.docx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详见附件：响应方案说明.docx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